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779C0" w14:textId="274C5074" w:rsidR="00B7483B" w:rsidRPr="00DD4DBF" w:rsidRDefault="00F16573" w:rsidP="000D4396">
      <w:pPr>
        <w:spacing w:before="240" w:after="240" w:line="276" w:lineRule="auto"/>
        <w:jc w:val="center"/>
        <w:rPr>
          <w:b/>
          <w:color w:val="00B050"/>
          <w:sz w:val="24"/>
          <w:szCs w:val="24"/>
        </w:rPr>
        <w:sectPr w:rsidR="00B7483B" w:rsidRPr="00DD4DBF" w:rsidSect="00FB5B23">
          <w:headerReference w:type="default" r:id="rId11"/>
          <w:footerReference w:type="default" r:id="rId12"/>
          <w:pgSz w:w="11906" w:h="16838"/>
          <w:pgMar w:top="720" w:right="720" w:bottom="2127" w:left="720" w:header="708" w:footer="283" w:gutter="0"/>
          <w:cols w:space="708"/>
          <w:docGrid w:linePitch="360"/>
        </w:sectPr>
      </w:pPr>
      <w:r>
        <w:rPr>
          <w:b/>
          <w:color w:val="00B050"/>
          <w:sz w:val="24"/>
          <w:szCs w:val="24"/>
        </w:rPr>
        <w:t xml:space="preserve">What the Decision in Kingdom Bank Limited v Alice Wanja </w:t>
      </w:r>
      <w:r w:rsidR="00BA466F">
        <w:rPr>
          <w:b/>
          <w:color w:val="00B050"/>
          <w:sz w:val="24"/>
          <w:szCs w:val="24"/>
        </w:rPr>
        <w:t>(</w:t>
      </w:r>
      <w:r>
        <w:rPr>
          <w:b/>
          <w:color w:val="00B050"/>
          <w:sz w:val="24"/>
          <w:szCs w:val="24"/>
        </w:rPr>
        <w:t>2024</w:t>
      </w:r>
      <w:r w:rsidR="00BA466F">
        <w:rPr>
          <w:b/>
          <w:color w:val="00B050"/>
          <w:sz w:val="24"/>
          <w:szCs w:val="24"/>
        </w:rPr>
        <w:t>)</w:t>
      </w:r>
      <w:r w:rsidR="0030617B">
        <w:rPr>
          <w:b/>
          <w:color w:val="00B050"/>
          <w:sz w:val="24"/>
          <w:szCs w:val="24"/>
        </w:rPr>
        <w:t xml:space="preserve"> means </w:t>
      </w:r>
      <w:r w:rsidR="00C40CEB">
        <w:rPr>
          <w:b/>
          <w:color w:val="00B050"/>
          <w:sz w:val="24"/>
          <w:szCs w:val="24"/>
        </w:rPr>
        <w:t>for C</w:t>
      </w:r>
      <w:r w:rsidR="008259BD">
        <w:rPr>
          <w:b/>
          <w:color w:val="00B050"/>
          <w:sz w:val="24"/>
          <w:szCs w:val="24"/>
        </w:rPr>
        <w:t xml:space="preserve">ommercial </w:t>
      </w:r>
      <w:r w:rsidR="00C40CEB">
        <w:rPr>
          <w:b/>
          <w:color w:val="00B050"/>
          <w:sz w:val="24"/>
          <w:szCs w:val="24"/>
        </w:rPr>
        <w:t>B</w:t>
      </w:r>
      <w:r w:rsidR="008259BD">
        <w:rPr>
          <w:b/>
          <w:color w:val="00B050"/>
          <w:sz w:val="24"/>
          <w:szCs w:val="24"/>
        </w:rPr>
        <w:t>anks</w:t>
      </w:r>
    </w:p>
    <w:p w14:paraId="5E96B39C" w14:textId="77777777" w:rsidR="00F1624D" w:rsidRPr="00F1624D" w:rsidRDefault="00F1624D" w:rsidP="00F1624D">
      <w:pPr>
        <w:spacing w:before="120" w:after="120" w:line="276" w:lineRule="auto"/>
        <w:jc w:val="both"/>
        <w:rPr>
          <w:b/>
          <w:bCs/>
          <w:i/>
          <w:color w:val="00B050"/>
        </w:rPr>
      </w:pPr>
      <w:r w:rsidRPr="00F1624D">
        <w:rPr>
          <w:b/>
          <w:bCs/>
          <w:i/>
          <w:color w:val="00B050"/>
        </w:rPr>
        <w:t xml:space="preserve">Background </w:t>
      </w:r>
    </w:p>
    <w:p w14:paraId="725B4F82" w14:textId="57585201" w:rsidR="00DE49A7" w:rsidRDefault="00F1624D" w:rsidP="00DE49A7">
      <w:pPr>
        <w:spacing w:before="120" w:after="120" w:line="276" w:lineRule="auto"/>
        <w:jc w:val="both"/>
      </w:pPr>
      <w:r>
        <w:t xml:space="preserve">The </w:t>
      </w:r>
      <w:r w:rsidR="00C40CEB">
        <w:t>H</w:t>
      </w:r>
      <w:r>
        <w:t xml:space="preserve">igh </w:t>
      </w:r>
      <w:r w:rsidR="00C40CEB">
        <w:t>C</w:t>
      </w:r>
      <w:r>
        <w:t xml:space="preserve">ourt recently </w:t>
      </w:r>
      <w:r w:rsidR="0030617B">
        <w:t xml:space="preserve">directed a local bank to reimburse a client who erroneously transferred </w:t>
      </w:r>
      <w:r w:rsidR="00DE49A7">
        <w:t xml:space="preserve">funds </w:t>
      </w:r>
      <w:r w:rsidR="0030617B">
        <w:t xml:space="preserve">to an account held with </w:t>
      </w:r>
      <w:r w:rsidR="00DE49A7">
        <w:t xml:space="preserve">it. This </w:t>
      </w:r>
      <w:r w:rsidR="00590331">
        <w:t xml:space="preserve">decision </w:t>
      </w:r>
      <w:r w:rsidR="00DE49A7">
        <w:t xml:space="preserve">will have </w:t>
      </w:r>
      <w:r w:rsidR="00590331">
        <w:t xml:space="preserve">far reaching </w:t>
      </w:r>
      <w:r w:rsidR="00C40CEB">
        <w:t xml:space="preserve">implications </w:t>
      </w:r>
      <w:r w:rsidR="00590331">
        <w:t xml:space="preserve">on the </w:t>
      </w:r>
      <w:r w:rsidR="000312D6">
        <w:t xml:space="preserve">duty of care </w:t>
      </w:r>
      <w:r w:rsidR="008C0B5B">
        <w:t>borne by</w:t>
      </w:r>
      <w:r w:rsidR="00590331">
        <w:t xml:space="preserve"> </w:t>
      </w:r>
      <w:r w:rsidR="008D2F77">
        <w:t xml:space="preserve">banks and </w:t>
      </w:r>
      <w:r w:rsidR="004F4C14">
        <w:t>payment service providers</w:t>
      </w:r>
      <w:r w:rsidR="000312D6">
        <w:t>.</w:t>
      </w:r>
      <w:r w:rsidR="004F4C14">
        <w:t xml:space="preserve"> </w:t>
      </w:r>
    </w:p>
    <w:p w14:paraId="3E829868" w14:textId="0DF89ED6" w:rsidR="000C4331" w:rsidRDefault="00AB45D0" w:rsidP="0041729F">
      <w:pPr>
        <w:spacing w:before="120" w:after="120" w:line="276" w:lineRule="auto"/>
        <w:jc w:val="both"/>
      </w:pPr>
      <w:r>
        <w:t>An individual (</w:t>
      </w:r>
      <w:r w:rsidR="00E714C7">
        <w:t xml:space="preserve">the </w:t>
      </w:r>
      <w:r w:rsidR="00E714C7" w:rsidRPr="000D4396">
        <w:rPr>
          <w:b/>
          <w:bCs/>
        </w:rPr>
        <w:t>respondent</w:t>
      </w:r>
      <w:r>
        <w:t>)</w:t>
      </w:r>
      <w:r w:rsidR="008E24B9">
        <w:t xml:space="preserve"> </w:t>
      </w:r>
      <w:r w:rsidR="00F1624D">
        <w:t xml:space="preserve">erroneously </w:t>
      </w:r>
      <w:r w:rsidR="00A03FA9">
        <w:t xml:space="preserve">transferred </w:t>
      </w:r>
      <w:r w:rsidR="00792C23">
        <w:t xml:space="preserve">funds </w:t>
      </w:r>
      <w:r w:rsidR="00F1624D">
        <w:t>t</w:t>
      </w:r>
      <w:r w:rsidR="00A03FA9">
        <w:t xml:space="preserve">hrough </w:t>
      </w:r>
      <w:r w:rsidR="00F1624D">
        <w:t>M</w:t>
      </w:r>
      <w:r w:rsidR="007D4934">
        <w:t>-</w:t>
      </w:r>
      <w:proofErr w:type="spellStart"/>
      <w:r w:rsidR="00574F0D">
        <w:t>pesa</w:t>
      </w:r>
      <w:proofErr w:type="spellEnd"/>
      <w:r w:rsidR="00574F0D">
        <w:t xml:space="preserve"> to </w:t>
      </w:r>
      <w:r>
        <w:t xml:space="preserve">an </w:t>
      </w:r>
      <w:r w:rsidR="00574F0D">
        <w:t xml:space="preserve">account at </w:t>
      </w:r>
      <w:r w:rsidR="0009742E">
        <w:t>the b</w:t>
      </w:r>
      <w:r w:rsidR="00574F0D">
        <w:t>ank</w:t>
      </w:r>
      <w:r w:rsidR="00FC2238">
        <w:t xml:space="preserve">. </w:t>
      </w:r>
      <w:r w:rsidR="00792C23">
        <w:t xml:space="preserve">Upon </w:t>
      </w:r>
      <w:r w:rsidR="00F1624D">
        <w:t>discover</w:t>
      </w:r>
      <w:r w:rsidR="00574F0D">
        <w:t>ing</w:t>
      </w:r>
      <w:r w:rsidR="00F1624D">
        <w:t xml:space="preserve"> the erro</w:t>
      </w:r>
      <w:r w:rsidR="00574F0D">
        <w:t>r</w:t>
      </w:r>
      <w:r w:rsidR="00792C23">
        <w:t>, she</w:t>
      </w:r>
      <w:r w:rsidR="00574F0D">
        <w:t xml:space="preserve"> requested </w:t>
      </w:r>
      <w:r w:rsidR="00F1624D">
        <w:t xml:space="preserve">Safaricom </w:t>
      </w:r>
      <w:r w:rsidR="00574F0D">
        <w:t xml:space="preserve">to reverse the transaction. Safaricom </w:t>
      </w:r>
      <w:r w:rsidR="00F1624D">
        <w:t xml:space="preserve">advised her </w:t>
      </w:r>
      <w:r w:rsidR="0009742E">
        <w:t xml:space="preserve">it had notified </w:t>
      </w:r>
      <w:r w:rsidR="000C4331">
        <w:t>the bank</w:t>
      </w:r>
      <w:r w:rsidR="00792C23">
        <w:t>, who</w:t>
      </w:r>
      <w:r w:rsidR="000C4331">
        <w:t xml:space="preserve"> she should </w:t>
      </w:r>
      <w:r w:rsidR="00FC2238">
        <w:t xml:space="preserve">follow </w:t>
      </w:r>
      <w:r w:rsidR="00792C23">
        <w:t xml:space="preserve">this </w:t>
      </w:r>
      <w:r w:rsidR="00FC2238">
        <w:t>up with</w:t>
      </w:r>
      <w:r w:rsidR="00F1624D">
        <w:t>.</w:t>
      </w:r>
      <w:r w:rsidR="00E218C4">
        <w:t xml:space="preserve"> </w:t>
      </w:r>
    </w:p>
    <w:p w14:paraId="2A1F2CD0" w14:textId="23988064" w:rsidR="0009742E" w:rsidRDefault="000C4331" w:rsidP="000C4331">
      <w:pPr>
        <w:spacing w:before="120" w:after="120" w:line="276" w:lineRule="auto"/>
        <w:jc w:val="both"/>
      </w:pPr>
      <w:r w:rsidRPr="000C4331">
        <w:t xml:space="preserve">The bank’s </w:t>
      </w:r>
      <w:r w:rsidR="000A68EF">
        <w:t xml:space="preserve">response </w:t>
      </w:r>
      <w:r w:rsidRPr="000C4331">
        <w:t xml:space="preserve">was that by </w:t>
      </w:r>
      <w:r w:rsidR="000A68EF">
        <w:t xml:space="preserve">when </w:t>
      </w:r>
      <w:r w:rsidRPr="000C4331">
        <w:t xml:space="preserve">it was informed of the erroneous </w:t>
      </w:r>
      <w:r w:rsidR="0009742E">
        <w:t>transfer</w:t>
      </w:r>
      <w:r w:rsidRPr="000C4331">
        <w:t xml:space="preserve">, its customer had withdrawn the funds. </w:t>
      </w:r>
      <w:r w:rsidR="0009742E">
        <w:t xml:space="preserve">The account did not have sufficient funds to reimburse the appellant, and the </w:t>
      </w:r>
      <w:r w:rsidR="00EC248B">
        <w:t>bank could not debit the account without the customer’s consent.</w:t>
      </w:r>
    </w:p>
    <w:p w14:paraId="1EB580BA" w14:textId="5C5FE57E" w:rsidR="00781455" w:rsidRDefault="00E218C4">
      <w:pPr>
        <w:spacing w:before="120" w:after="120" w:line="276" w:lineRule="auto"/>
        <w:jc w:val="both"/>
      </w:pPr>
      <w:r>
        <w:t xml:space="preserve">The respondent </w:t>
      </w:r>
      <w:r w:rsidR="00510CB5">
        <w:t xml:space="preserve">sued at </w:t>
      </w:r>
      <w:r>
        <w:t xml:space="preserve">the Small </w:t>
      </w:r>
      <w:r w:rsidR="00510CB5">
        <w:t>C</w:t>
      </w:r>
      <w:r>
        <w:t xml:space="preserve">laims </w:t>
      </w:r>
      <w:r w:rsidR="00510CB5">
        <w:t>C</w:t>
      </w:r>
      <w:r>
        <w:t>ourt</w:t>
      </w:r>
      <w:r w:rsidR="003E0B0C">
        <w:t xml:space="preserve">, which </w:t>
      </w:r>
      <w:r w:rsidR="00781455">
        <w:t xml:space="preserve">ordered the bank to reimburse </w:t>
      </w:r>
      <w:r w:rsidR="0009742E">
        <w:t>her</w:t>
      </w:r>
      <w:r w:rsidR="003E0B0C">
        <w:t xml:space="preserve">. This </w:t>
      </w:r>
      <w:r w:rsidR="00781455">
        <w:t xml:space="preserve">decision was upheld </w:t>
      </w:r>
      <w:r w:rsidR="003E0B0C">
        <w:t xml:space="preserve">by </w:t>
      </w:r>
      <w:r w:rsidR="00781455">
        <w:t>the High Court</w:t>
      </w:r>
      <w:r w:rsidR="003E0B0C">
        <w:t xml:space="preserve"> on appeal</w:t>
      </w:r>
      <w:r w:rsidR="0041729F">
        <w:t>.</w:t>
      </w:r>
    </w:p>
    <w:p w14:paraId="30D4FA05" w14:textId="3ACC0791" w:rsidR="00B7483B" w:rsidRPr="00020DED" w:rsidRDefault="00781455" w:rsidP="00F1624D">
      <w:pPr>
        <w:spacing w:before="120" w:after="120" w:line="276" w:lineRule="auto"/>
        <w:jc w:val="both"/>
        <w:rPr>
          <w:b/>
          <w:bCs/>
          <w:i/>
          <w:color w:val="00B050"/>
        </w:rPr>
      </w:pPr>
      <w:r>
        <w:rPr>
          <w:b/>
          <w:bCs/>
          <w:i/>
          <w:color w:val="00B050"/>
        </w:rPr>
        <w:t xml:space="preserve">Findings by </w:t>
      </w:r>
      <w:r w:rsidR="00C62E51">
        <w:rPr>
          <w:b/>
          <w:bCs/>
          <w:i/>
          <w:color w:val="00B050"/>
        </w:rPr>
        <w:t xml:space="preserve">the </w:t>
      </w:r>
      <w:r>
        <w:rPr>
          <w:b/>
          <w:bCs/>
          <w:i/>
          <w:color w:val="00B050"/>
        </w:rPr>
        <w:t xml:space="preserve">Small Claims Court and the </w:t>
      </w:r>
      <w:r w:rsidR="00C62E51">
        <w:rPr>
          <w:b/>
          <w:bCs/>
          <w:i/>
          <w:color w:val="00B050"/>
        </w:rPr>
        <w:t xml:space="preserve">High </w:t>
      </w:r>
      <w:r>
        <w:rPr>
          <w:b/>
          <w:bCs/>
          <w:i/>
          <w:color w:val="00B050"/>
        </w:rPr>
        <w:t>C</w:t>
      </w:r>
      <w:r w:rsidR="00C62E51">
        <w:rPr>
          <w:b/>
          <w:bCs/>
          <w:i/>
          <w:color w:val="00B050"/>
        </w:rPr>
        <w:t>ourt</w:t>
      </w:r>
    </w:p>
    <w:p w14:paraId="4474FC7D" w14:textId="35FDDA08" w:rsidR="0041729F" w:rsidRDefault="0041729F" w:rsidP="00E41650">
      <w:pPr>
        <w:spacing w:before="120" w:after="120" w:line="276" w:lineRule="auto"/>
        <w:jc w:val="both"/>
      </w:pPr>
      <w:r>
        <w:t>The S</w:t>
      </w:r>
      <w:r w:rsidR="003E0B0C">
        <w:t xml:space="preserve">mall Claims Court </w:t>
      </w:r>
      <w:r w:rsidR="00E41650">
        <w:t>held that money paid by mistake is repayable</w:t>
      </w:r>
      <w:r w:rsidR="006C4345">
        <w:t>, for the following reasons:</w:t>
      </w:r>
    </w:p>
    <w:p w14:paraId="3AEEA593" w14:textId="670E6B34" w:rsidR="00CB2380" w:rsidRDefault="00B1440C" w:rsidP="000D4396">
      <w:pPr>
        <w:pStyle w:val="ListParagraph"/>
        <w:widowControl w:val="0"/>
        <w:numPr>
          <w:ilvl w:val="0"/>
          <w:numId w:val="3"/>
        </w:numPr>
        <w:spacing w:before="120" w:after="120" w:line="276" w:lineRule="auto"/>
        <w:ind w:left="425" w:hanging="425"/>
        <w:contextualSpacing w:val="0"/>
        <w:jc w:val="both"/>
      </w:pPr>
      <w:r>
        <w:t>A bank is not entitled to retain money which in common honesty it ought not to.</w:t>
      </w:r>
    </w:p>
    <w:p w14:paraId="5F873B91" w14:textId="23E9FE09" w:rsidR="00CB0C6A" w:rsidRDefault="00DE1540" w:rsidP="00DE1540">
      <w:pPr>
        <w:pStyle w:val="ListParagraph"/>
        <w:widowControl w:val="0"/>
        <w:numPr>
          <w:ilvl w:val="0"/>
          <w:numId w:val="3"/>
        </w:numPr>
        <w:spacing w:before="120" w:after="120" w:line="276" w:lineRule="auto"/>
        <w:ind w:left="425" w:hanging="425"/>
        <w:contextualSpacing w:val="0"/>
        <w:jc w:val="both"/>
      </w:pPr>
      <w:r>
        <w:t>Whether the bank will be liable for refund</w:t>
      </w:r>
      <w:r w:rsidR="00CB0C6A">
        <w:t>ing</w:t>
      </w:r>
      <w:r>
        <w:t xml:space="preserve"> </w:t>
      </w:r>
      <w:r w:rsidR="00CB0C6A">
        <w:t xml:space="preserve">the erroneous transfer </w:t>
      </w:r>
      <w:r w:rsidR="00B1440C">
        <w:t>depend</w:t>
      </w:r>
      <w:r w:rsidR="00274D6D">
        <w:t>s</w:t>
      </w:r>
      <w:r w:rsidR="00B1440C">
        <w:t xml:space="preserve"> on </w:t>
      </w:r>
      <w:r>
        <w:t xml:space="preserve">when it was informed and what actions had been taken. </w:t>
      </w:r>
      <w:r w:rsidR="00CB0C6A">
        <w:t xml:space="preserve">If the funds were withdrawn, accounts settled or other action taken before the bank was informed, it </w:t>
      </w:r>
      <w:r w:rsidR="002907E7">
        <w:t>is likely to be inequitable to ask the bank to refund.</w:t>
      </w:r>
    </w:p>
    <w:p w14:paraId="7A5F0AC5" w14:textId="1CE68C47" w:rsidR="006C4345" w:rsidRDefault="006C4345" w:rsidP="000D4396">
      <w:pPr>
        <w:pStyle w:val="ListParagraph"/>
        <w:widowControl w:val="0"/>
        <w:numPr>
          <w:ilvl w:val="0"/>
          <w:numId w:val="3"/>
        </w:numPr>
        <w:spacing w:before="120" w:after="120" w:line="276" w:lineRule="auto"/>
        <w:ind w:left="425" w:hanging="425"/>
        <w:contextualSpacing w:val="0"/>
        <w:jc w:val="both"/>
      </w:pPr>
      <w:r>
        <w:t xml:space="preserve">Upon being informed of the erroneous transfer, the bank should have acted quickly to </w:t>
      </w:r>
      <w:r w:rsidR="00B73834">
        <w:t>freeze the account as it sought clarity from its customer.</w:t>
      </w:r>
    </w:p>
    <w:p w14:paraId="7588534D" w14:textId="74F968F9" w:rsidR="001376B1" w:rsidRDefault="00C10453" w:rsidP="000D4396">
      <w:pPr>
        <w:widowControl w:val="0"/>
        <w:spacing w:before="120" w:after="120" w:line="276" w:lineRule="auto"/>
        <w:jc w:val="both"/>
      </w:pPr>
      <w:r>
        <w:br w:type="column"/>
      </w:r>
      <w:r w:rsidR="00B22426">
        <w:t xml:space="preserve">The bank </w:t>
      </w:r>
      <w:r w:rsidR="007509F6">
        <w:t xml:space="preserve">understandably </w:t>
      </w:r>
      <w:r w:rsidR="00B85C9E">
        <w:t>ag</w:t>
      </w:r>
      <w:r w:rsidR="007509F6">
        <w:t>g</w:t>
      </w:r>
      <w:r w:rsidR="00B85C9E">
        <w:t>ri</w:t>
      </w:r>
      <w:r w:rsidR="007509F6">
        <w:t>e</w:t>
      </w:r>
      <w:r w:rsidR="00B85C9E">
        <w:t xml:space="preserve">ved </w:t>
      </w:r>
      <w:r w:rsidR="00E80400">
        <w:t>appealed</w:t>
      </w:r>
      <w:r w:rsidR="004F46C5">
        <w:t xml:space="preserve">. </w:t>
      </w:r>
      <w:r w:rsidR="00B16DED">
        <w:t xml:space="preserve">The High </w:t>
      </w:r>
      <w:r w:rsidR="003E53EC">
        <w:t>C</w:t>
      </w:r>
      <w:r w:rsidR="00B16DED">
        <w:t>our</w:t>
      </w:r>
      <w:r w:rsidR="00304288">
        <w:t xml:space="preserve">t </w:t>
      </w:r>
      <w:r w:rsidR="000A68EF">
        <w:t>though</w:t>
      </w:r>
      <w:r w:rsidR="003E53EC">
        <w:t xml:space="preserve"> agreeing there was no contractual relationship between the </w:t>
      </w:r>
      <w:r w:rsidR="00C17813">
        <w:t xml:space="preserve">parties </w:t>
      </w:r>
      <w:r w:rsidR="00304288">
        <w:t>dismissed the</w:t>
      </w:r>
      <w:r w:rsidR="00A12AB4">
        <w:t xml:space="preserve"> </w:t>
      </w:r>
      <w:r w:rsidR="00304288">
        <w:t>appeal</w:t>
      </w:r>
      <w:r w:rsidR="00E714C7">
        <w:t>.</w:t>
      </w:r>
      <w:r w:rsidR="00304288">
        <w:t xml:space="preserve"> </w:t>
      </w:r>
      <w:r w:rsidR="00C17813">
        <w:t xml:space="preserve">It </w:t>
      </w:r>
      <w:r w:rsidR="00B73834">
        <w:t xml:space="preserve">made </w:t>
      </w:r>
      <w:r w:rsidR="001376B1">
        <w:t>the following</w:t>
      </w:r>
      <w:r w:rsidR="003E69A2">
        <w:t xml:space="preserve"> consequential</w:t>
      </w:r>
      <w:r w:rsidR="001376B1">
        <w:t xml:space="preserve"> findings:</w:t>
      </w:r>
    </w:p>
    <w:p w14:paraId="09F0A7BD" w14:textId="58D1085F" w:rsidR="00B22426" w:rsidRDefault="00AA6B0F" w:rsidP="00E02358">
      <w:pPr>
        <w:pStyle w:val="ListParagraph"/>
        <w:widowControl w:val="0"/>
        <w:numPr>
          <w:ilvl w:val="0"/>
          <w:numId w:val="3"/>
        </w:numPr>
        <w:spacing w:before="120" w:after="120" w:line="276" w:lineRule="auto"/>
        <w:ind w:left="426" w:hanging="426"/>
        <w:jc w:val="both"/>
      </w:pPr>
      <w:r>
        <w:t>E</w:t>
      </w:r>
      <w:r w:rsidR="002730EB">
        <w:t xml:space="preserve">lectronic </w:t>
      </w:r>
      <w:r w:rsidR="00B9279E">
        <w:t xml:space="preserve">fund </w:t>
      </w:r>
      <w:r w:rsidR="002730EB">
        <w:t>tra</w:t>
      </w:r>
      <w:r w:rsidR="00826E3A">
        <w:t>nsfer</w:t>
      </w:r>
      <w:r>
        <w:t>s</w:t>
      </w:r>
      <w:r w:rsidR="00826E3A">
        <w:t xml:space="preserve"> </w:t>
      </w:r>
      <w:r>
        <w:t xml:space="preserve">are </w:t>
      </w:r>
      <w:r w:rsidR="00826E3A">
        <w:t xml:space="preserve">based on </w:t>
      </w:r>
      <w:r w:rsidR="00A12AB4">
        <w:t xml:space="preserve">a </w:t>
      </w:r>
      <w:r w:rsidR="00826E3A">
        <w:t>good faith</w:t>
      </w:r>
      <w:r w:rsidR="00A12AB4">
        <w:t xml:space="preserve"> expectation f</w:t>
      </w:r>
      <w:r w:rsidR="00C4149B">
        <w:t xml:space="preserve">unds will reach their intended destination and </w:t>
      </w:r>
      <w:r w:rsidR="000B5C29">
        <w:t xml:space="preserve">where there is an </w:t>
      </w:r>
      <w:r w:rsidR="006D326F">
        <w:t>error</w:t>
      </w:r>
      <w:r w:rsidR="000B5C29">
        <w:t>,</w:t>
      </w:r>
      <w:r w:rsidR="006D326F">
        <w:t xml:space="preserve"> the </w:t>
      </w:r>
      <w:r w:rsidR="000B5C29">
        <w:t xml:space="preserve">funds </w:t>
      </w:r>
      <w:r w:rsidR="00B73834">
        <w:t xml:space="preserve">will </w:t>
      </w:r>
      <w:r w:rsidR="00067BA7">
        <w:t>be recovered</w:t>
      </w:r>
      <w:r w:rsidR="006D326F">
        <w:t>.</w:t>
      </w:r>
    </w:p>
    <w:p w14:paraId="218BA3DB" w14:textId="2DD329D3" w:rsidR="00DA1324" w:rsidRDefault="00A101D2" w:rsidP="00E02358">
      <w:pPr>
        <w:pStyle w:val="ListParagraph"/>
        <w:widowControl w:val="0"/>
        <w:numPr>
          <w:ilvl w:val="0"/>
          <w:numId w:val="3"/>
        </w:numPr>
        <w:spacing w:before="120" w:after="120" w:line="276" w:lineRule="auto"/>
        <w:ind w:left="426" w:hanging="426"/>
        <w:jc w:val="both"/>
      </w:pPr>
      <w:r>
        <w:t>Erroneous transactions are inevitable and the question is whether the bank acted in good faith</w:t>
      </w:r>
      <w:r w:rsidR="00637DEF">
        <w:t>.</w:t>
      </w:r>
      <w:r w:rsidR="00B9279E">
        <w:t xml:space="preserve"> </w:t>
      </w:r>
      <w:r w:rsidR="000B5C29">
        <w:t xml:space="preserve">A </w:t>
      </w:r>
      <w:r w:rsidR="00637DEF">
        <w:t xml:space="preserve">bank </w:t>
      </w:r>
      <w:r w:rsidR="000B5C29">
        <w:t xml:space="preserve">must </w:t>
      </w:r>
      <w:r w:rsidR="00637DEF">
        <w:t xml:space="preserve">demonstrate it </w:t>
      </w:r>
      <w:r w:rsidR="00897049">
        <w:t xml:space="preserve">did not aid fraud and </w:t>
      </w:r>
      <w:r w:rsidR="00637DEF">
        <w:t xml:space="preserve">took steps </w:t>
      </w:r>
      <w:r w:rsidR="00D85B2B">
        <w:t xml:space="preserve">to recall </w:t>
      </w:r>
      <w:r w:rsidR="00497408">
        <w:t>funds</w:t>
      </w:r>
      <w:r w:rsidR="00D85B2B">
        <w:t xml:space="preserve"> transferred in error</w:t>
      </w:r>
      <w:r w:rsidR="00B61191">
        <w:t>.</w:t>
      </w:r>
    </w:p>
    <w:p w14:paraId="39D2DB71" w14:textId="551D6204" w:rsidR="00897049" w:rsidRDefault="00897049" w:rsidP="000D4396">
      <w:pPr>
        <w:widowControl w:val="0"/>
        <w:spacing w:before="120" w:after="120" w:line="276" w:lineRule="auto"/>
        <w:jc w:val="both"/>
      </w:pPr>
      <w:r>
        <w:t>Key to the</w:t>
      </w:r>
      <w:r w:rsidR="00681F26">
        <w:t>se</w:t>
      </w:r>
      <w:r>
        <w:t xml:space="preserve"> finding</w:t>
      </w:r>
      <w:r w:rsidR="00681F26">
        <w:t>s</w:t>
      </w:r>
      <w:r>
        <w:t xml:space="preserve"> is the </w:t>
      </w:r>
      <w:r w:rsidR="00596213">
        <w:t xml:space="preserve">concerned </w:t>
      </w:r>
      <w:r>
        <w:t xml:space="preserve">bank did not </w:t>
      </w:r>
      <w:r w:rsidR="00B942C0">
        <w:t xml:space="preserve">prove </w:t>
      </w:r>
      <w:r w:rsidR="00681F26">
        <w:t xml:space="preserve">its customer withdrew the funds before it </w:t>
      </w:r>
      <w:r>
        <w:t xml:space="preserve">was notified of the erroneous transaction. </w:t>
      </w:r>
    </w:p>
    <w:p w14:paraId="0966AE7E" w14:textId="539CE3BD" w:rsidR="00596213" w:rsidRPr="000D4396" w:rsidRDefault="00596213" w:rsidP="000D4396">
      <w:pPr>
        <w:widowControl w:val="0"/>
        <w:spacing w:before="120" w:after="120" w:line="276" w:lineRule="auto"/>
        <w:jc w:val="both"/>
        <w:rPr>
          <w:b/>
          <w:bCs/>
          <w:i/>
          <w:color w:val="00B050"/>
        </w:rPr>
      </w:pPr>
      <w:r w:rsidRPr="000D4396">
        <w:rPr>
          <w:b/>
          <w:bCs/>
          <w:i/>
          <w:color w:val="00B050"/>
        </w:rPr>
        <w:t xml:space="preserve">Dealing with </w:t>
      </w:r>
      <w:r w:rsidR="00CC25FB">
        <w:rPr>
          <w:b/>
          <w:bCs/>
          <w:i/>
          <w:color w:val="00B050"/>
        </w:rPr>
        <w:t>Disputed</w:t>
      </w:r>
      <w:r w:rsidRPr="000D4396">
        <w:rPr>
          <w:b/>
          <w:bCs/>
          <w:i/>
          <w:color w:val="00B050"/>
        </w:rPr>
        <w:t xml:space="preserve"> Transactions</w:t>
      </w:r>
    </w:p>
    <w:p w14:paraId="21EC44E2" w14:textId="77777777" w:rsidR="00CC25FB" w:rsidRDefault="00CC25FB" w:rsidP="00CC25FB">
      <w:pPr>
        <w:widowControl w:val="0"/>
        <w:spacing w:before="120" w:after="120" w:line="276" w:lineRule="auto"/>
        <w:jc w:val="both"/>
      </w:pPr>
      <w:r>
        <w:t xml:space="preserve">Borrowing from these decisions, and practices in comparative jurisdictions, the best practices for dealing with disputed </w:t>
      </w:r>
      <w:r w:rsidR="00E82E1A">
        <w:t>transactions</w:t>
      </w:r>
      <w:r>
        <w:t>, are:</w:t>
      </w:r>
    </w:p>
    <w:p w14:paraId="252A8B65" w14:textId="09B2A9E8" w:rsidR="00A46A5B" w:rsidRDefault="00003DB1" w:rsidP="00DC185D">
      <w:pPr>
        <w:pStyle w:val="ListParagraph"/>
        <w:widowControl w:val="0"/>
        <w:numPr>
          <w:ilvl w:val="0"/>
          <w:numId w:val="3"/>
        </w:numPr>
        <w:spacing w:before="120" w:after="120" w:line="276" w:lineRule="auto"/>
        <w:ind w:left="425" w:hanging="425"/>
        <w:contextualSpacing w:val="0"/>
        <w:jc w:val="both"/>
      </w:pPr>
      <w:r>
        <w:t xml:space="preserve">Protect </w:t>
      </w:r>
      <w:r w:rsidR="002907E7">
        <w:t>–</w:t>
      </w:r>
      <w:r>
        <w:t xml:space="preserve"> </w:t>
      </w:r>
      <w:r w:rsidR="002907E7">
        <w:t>i</w:t>
      </w:r>
      <w:r w:rsidR="00A46A5B">
        <w:t xml:space="preserve">mmediately </w:t>
      </w:r>
      <w:r w:rsidR="00960289">
        <w:t xml:space="preserve">the bank </w:t>
      </w:r>
      <w:r w:rsidR="00A46A5B">
        <w:t xml:space="preserve">is </w:t>
      </w:r>
      <w:r w:rsidR="00960289">
        <w:t xml:space="preserve">notified </w:t>
      </w:r>
      <w:r w:rsidR="00A46A5B">
        <w:t>of a</w:t>
      </w:r>
      <w:r w:rsidR="002907E7">
        <w:t xml:space="preserve"> </w:t>
      </w:r>
      <w:r w:rsidR="00960289">
        <w:t>misdirected payment</w:t>
      </w:r>
      <w:r w:rsidR="00FA5390">
        <w:t>, it should</w:t>
      </w:r>
      <w:r w:rsidR="00355B4E">
        <w:t xml:space="preserve"> p</w:t>
      </w:r>
      <w:r w:rsidR="00FA5390">
        <w:t xml:space="preserve">ut a hold on </w:t>
      </w:r>
      <w:r w:rsidR="007416CC">
        <w:t>an equivalent sum</w:t>
      </w:r>
      <w:r w:rsidR="00FA5390">
        <w:t>.</w:t>
      </w:r>
      <w:r w:rsidR="00A46A5B">
        <w:t xml:space="preserve"> </w:t>
      </w:r>
      <w:r w:rsidR="00B06659">
        <w:t>The customer is entitled to access any uncontested funds so e</w:t>
      </w:r>
      <w:r w:rsidR="00A91FFE">
        <w:t>ntirely f</w:t>
      </w:r>
      <w:r>
        <w:t xml:space="preserve">reezing the </w:t>
      </w:r>
      <w:r w:rsidR="006D07C5">
        <w:t>account</w:t>
      </w:r>
      <w:r w:rsidR="00B06659">
        <w:t xml:space="preserve"> </w:t>
      </w:r>
      <w:r w:rsidR="00B942C0">
        <w:t xml:space="preserve">is likely to </w:t>
      </w:r>
      <w:r w:rsidR="00B06659">
        <w:t>be excessive</w:t>
      </w:r>
      <w:r w:rsidR="00B942C0">
        <w:t xml:space="preserve"> and lead to claims by the customer against the bank</w:t>
      </w:r>
      <w:r w:rsidR="0058623D">
        <w:t>.</w:t>
      </w:r>
    </w:p>
    <w:p w14:paraId="774056E1" w14:textId="0BBC0ED4" w:rsidR="00003DB1" w:rsidRDefault="005518B2" w:rsidP="000D4396">
      <w:pPr>
        <w:pStyle w:val="ListParagraph"/>
        <w:widowControl w:val="0"/>
        <w:numPr>
          <w:ilvl w:val="0"/>
          <w:numId w:val="3"/>
        </w:numPr>
        <w:spacing w:before="120" w:after="120" w:line="276" w:lineRule="auto"/>
        <w:ind w:left="425" w:hanging="425"/>
        <w:contextualSpacing w:val="0"/>
        <w:jc w:val="both"/>
      </w:pPr>
      <w:r>
        <w:t>Give Notice –</w:t>
      </w:r>
      <w:r w:rsidR="00FB6C55">
        <w:t xml:space="preserve"> </w:t>
      </w:r>
      <w:r>
        <w:t xml:space="preserve">the bank should inform </w:t>
      </w:r>
      <w:r w:rsidR="00302AB3">
        <w:t xml:space="preserve">its customer it has put a hold on the funds from </w:t>
      </w:r>
      <w:r>
        <w:t>the disputed transaction.</w:t>
      </w:r>
      <w:r w:rsidR="00FB6C55">
        <w:t xml:space="preserve"> The </w:t>
      </w:r>
      <w:r w:rsidR="007B7B4C">
        <w:t xml:space="preserve">beneficiary of a misdirected payment can authorize the bank to debit its account and </w:t>
      </w:r>
      <w:r w:rsidR="00DC185D">
        <w:t xml:space="preserve">return </w:t>
      </w:r>
      <w:r w:rsidR="007B7B4C">
        <w:t xml:space="preserve">the </w:t>
      </w:r>
      <w:r w:rsidR="00DC185D">
        <w:t>funds.</w:t>
      </w:r>
      <w:r w:rsidR="00544BDE">
        <w:t xml:space="preserve"> The beneficiary may also dispute the claim.</w:t>
      </w:r>
    </w:p>
    <w:p w14:paraId="2579C15B" w14:textId="60717D8C" w:rsidR="00DC185D" w:rsidRDefault="00544BDE" w:rsidP="000D4396">
      <w:pPr>
        <w:pStyle w:val="ListParagraph"/>
        <w:widowControl w:val="0"/>
        <w:numPr>
          <w:ilvl w:val="0"/>
          <w:numId w:val="3"/>
        </w:numPr>
        <w:spacing w:before="120" w:after="120" w:line="276" w:lineRule="auto"/>
        <w:ind w:left="425" w:hanging="425"/>
        <w:contextualSpacing w:val="0"/>
        <w:jc w:val="both"/>
      </w:pPr>
      <w:r>
        <w:t xml:space="preserve">Inform – where the beneficiary disputes the claim </w:t>
      </w:r>
      <w:r w:rsidR="00181131">
        <w:t>the funds should be returned</w:t>
      </w:r>
      <w:r>
        <w:t xml:space="preserve">, the bank should inform the complainant or his service provider as soon as possible. </w:t>
      </w:r>
    </w:p>
    <w:p w14:paraId="49605F25" w14:textId="7C8F4CDB" w:rsidR="00B7483B" w:rsidRPr="007432BD" w:rsidRDefault="00852E35" w:rsidP="000D4396">
      <w:pPr>
        <w:widowControl w:val="0"/>
        <w:spacing w:before="360" w:after="120" w:line="276" w:lineRule="auto"/>
        <w:jc w:val="both"/>
        <w:rPr>
          <w:b/>
          <w:bCs/>
          <w:i/>
          <w:color w:val="00B050"/>
        </w:rPr>
      </w:pPr>
      <w:r>
        <w:rPr>
          <w:b/>
          <w:bCs/>
          <w:i/>
          <w:color w:val="00B050"/>
        </w:rPr>
        <w:lastRenderedPageBreak/>
        <w:t>Concerns for the Financial Sector</w:t>
      </w:r>
    </w:p>
    <w:p w14:paraId="2B48C605" w14:textId="70BA0948" w:rsidR="00EA5DC1" w:rsidRDefault="00EA5DC1" w:rsidP="00FF3A8A">
      <w:pPr>
        <w:spacing w:before="120" w:after="120" w:line="276" w:lineRule="auto"/>
        <w:jc w:val="both"/>
      </w:pPr>
      <w:r>
        <w:t xml:space="preserve">These cases did not answer some very important issues which should </w:t>
      </w:r>
      <w:r w:rsidR="00852E35">
        <w:t xml:space="preserve">seriously </w:t>
      </w:r>
      <w:r>
        <w:t xml:space="preserve">concern all banks, payment service providers, and </w:t>
      </w:r>
      <w:r w:rsidR="003D3850">
        <w:t xml:space="preserve">electronic </w:t>
      </w:r>
      <w:r>
        <w:t>wallet providers.</w:t>
      </w:r>
      <w:r w:rsidR="00852E35">
        <w:t xml:space="preserve"> </w:t>
      </w:r>
    </w:p>
    <w:p w14:paraId="4196B88E" w14:textId="3D71FFEB" w:rsidR="00FF3A8A" w:rsidRDefault="00E02358" w:rsidP="000D4396">
      <w:pPr>
        <w:spacing w:before="120" w:after="120" w:line="276" w:lineRule="auto"/>
        <w:jc w:val="both"/>
      </w:pPr>
      <w:r w:rsidRPr="000D4396">
        <w:rPr>
          <w:b/>
          <w:bCs/>
          <w:color w:val="00B050"/>
        </w:rPr>
        <w:t>Firstly</w:t>
      </w:r>
      <w:r w:rsidR="0041223A">
        <w:t>,</w:t>
      </w:r>
      <w:r>
        <w:t xml:space="preserve"> </w:t>
      </w:r>
      <w:r w:rsidR="00486CF4">
        <w:t xml:space="preserve">it </w:t>
      </w:r>
      <w:r>
        <w:t xml:space="preserve">was </w:t>
      </w:r>
      <w:r w:rsidR="00FF3A8A">
        <w:t xml:space="preserve">not </w:t>
      </w:r>
      <w:r>
        <w:t xml:space="preserve">disputed the </w:t>
      </w:r>
      <w:r w:rsidR="00486CF4">
        <w:t xml:space="preserve">erroneous payment </w:t>
      </w:r>
      <w:r>
        <w:t xml:space="preserve">was </w:t>
      </w:r>
      <w:r w:rsidR="00486CF4">
        <w:t xml:space="preserve">made through </w:t>
      </w:r>
      <w:r>
        <w:t>M</w:t>
      </w:r>
      <w:r w:rsidR="007D509E">
        <w:t>-</w:t>
      </w:r>
      <w:r w:rsidR="00A76722">
        <w:t xml:space="preserve">Pesa </w:t>
      </w:r>
      <w:r w:rsidR="00212A00">
        <w:t xml:space="preserve">which </w:t>
      </w:r>
      <w:r>
        <w:t xml:space="preserve">provides </w:t>
      </w:r>
      <w:r w:rsidR="00A76722">
        <w:t xml:space="preserve">opportunity to </w:t>
      </w:r>
      <w:r w:rsidR="00C37BAB">
        <w:t>verify</w:t>
      </w:r>
      <w:r w:rsidR="00A76722">
        <w:t xml:space="preserve"> </w:t>
      </w:r>
      <w:r w:rsidR="00486CF4">
        <w:t xml:space="preserve">the </w:t>
      </w:r>
      <w:r>
        <w:t>payee</w:t>
      </w:r>
      <w:r w:rsidR="00212A00">
        <w:t xml:space="preserve"> </w:t>
      </w:r>
      <w:r w:rsidR="00A76722">
        <w:t>before payment</w:t>
      </w:r>
      <w:r>
        <w:t>. Th</w:t>
      </w:r>
      <w:r w:rsidR="00DB709B">
        <w:t xml:space="preserve">erefore, the </w:t>
      </w:r>
      <w:r w:rsidR="00B675A9">
        <w:t xml:space="preserve">aggrieved party </w:t>
      </w:r>
      <w:r w:rsidR="00DB709B">
        <w:t xml:space="preserve">contributed to the loss of her funds, which does not </w:t>
      </w:r>
      <w:r w:rsidR="00212A00">
        <w:t xml:space="preserve">appear </w:t>
      </w:r>
      <w:r w:rsidR="00DB709B">
        <w:t xml:space="preserve">to have been </w:t>
      </w:r>
      <w:r w:rsidR="00B675A9">
        <w:t>considered</w:t>
      </w:r>
      <w:r w:rsidR="00212A00">
        <w:t xml:space="preserve"> by either court</w:t>
      </w:r>
      <w:r>
        <w:t xml:space="preserve">. </w:t>
      </w:r>
      <w:r w:rsidR="00852E35">
        <w:t xml:space="preserve">It is therefore unclear whether Kenyan courts </w:t>
      </w:r>
      <w:r w:rsidR="008C55BE">
        <w:t xml:space="preserve">will attribute any responsibility for loss of funds to </w:t>
      </w:r>
      <w:r w:rsidR="0019194A">
        <w:t xml:space="preserve">anyone </w:t>
      </w:r>
      <w:r w:rsidR="008C55BE">
        <w:t>who transacts negligently.</w:t>
      </w:r>
    </w:p>
    <w:p w14:paraId="59C4D39B" w14:textId="011F0211" w:rsidR="000D4D7D" w:rsidRDefault="00E02358">
      <w:pPr>
        <w:spacing w:before="120" w:after="120" w:line="276" w:lineRule="auto"/>
        <w:jc w:val="both"/>
      </w:pPr>
      <w:r w:rsidRPr="000D4396">
        <w:rPr>
          <w:b/>
          <w:bCs/>
          <w:color w:val="00B050"/>
        </w:rPr>
        <w:t>Secondly</w:t>
      </w:r>
      <w:r>
        <w:t xml:space="preserve">, </w:t>
      </w:r>
      <w:r w:rsidR="000D4D7D">
        <w:t xml:space="preserve">the decision impacts electronic payments resulting in disproportionate consequences for the banking sector and payment service providers. This is because the court found the bank which was merely a receiving agent was under obligation to undo any transactions it effects to a customer on instruction of the third-party payer. </w:t>
      </w:r>
      <w:r w:rsidR="00186E2D">
        <w:t xml:space="preserve">A key benefit of electronic payments is immediately available funds. The obligation to undo such transactions </w:t>
      </w:r>
      <w:r w:rsidR="00923A07">
        <w:t>may impact when electronically transferred funds are made available to the beneficiary. This can be a complex and difficult endeavour given the standards for such systems are internationally established.</w:t>
      </w:r>
      <w:r w:rsidR="000D4D7D">
        <w:t xml:space="preserve"> </w:t>
      </w:r>
    </w:p>
    <w:p w14:paraId="29755E47" w14:textId="77886BD1" w:rsidR="00656F54" w:rsidRPr="00F10716" w:rsidRDefault="00656F54" w:rsidP="00F10716">
      <w:pPr>
        <w:spacing w:before="120" w:after="120" w:line="276" w:lineRule="auto"/>
        <w:jc w:val="both"/>
      </w:pPr>
      <w:r w:rsidRPr="000D4396">
        <w:rPr>
          <w:b/>
          <w:bCs/>
          <w:color w:val="00B050"/>
        </w:rPr>
        <w:t>Lastly</w:t>
      </w:r>
      <w:r>
        <w:t xml:space="preserve">, the decision does not provide clarity on what the bank ought to do where the beneficiary of a </w:t>
      </w:r>
      <w:r>
        <w:t xml:space="preserve">disputed transaction disputes the claim. </w:t>
      </w:r>
      <w:r w:rsidR="006C7152">
        <w:t xml:space="preserve">Financial service providers are not arbiters of truth and are likely not be in a position to definitively distinguish genuine </w:t>
      </w:r>
      <w:r w:rsidR="00C56860">
        <w:t xml:space="preserve">mistakes from fraud or </w:t>
      </w:r>
      <w:r w:rsidR="006C7152">
        <w:t>unscrupulous p</w:t>
      </w:r>
      <w:r w:rsidR="003E7536">
        <w:t>ayers acting in bad faith.</w:t>
      </w:r>
    </w:p>
    <w:p w14:paraId="282CF133" w14:textId="77777777" w:rsidR="003E7536" w:rsidRPr="00E02358" w:rsidRDefault="003E7536" w:rsidP="000D4396">
      <w:pPr>
        <w:keepNext/>
        <w:widowControl w:val="0"/>
        <w:spacing w:before="60" w:after="60" w:line="276" w:lineRule="auto"/>
        <w:contextualSpacing/>
        <w:jc w:val="both"/>
      </w:pPr>
      <w:r>
        <w:rPr>
          <w:b/>
          <w:bCs/>
          <w:i/>
          <w:color w:val="00B050"/>
        </w:rPr>
        <w:t>Recommendations</w:t>
      </w:r>
    </w:p>
    <w:p w14:paraId="633E5EFC" w14:textId="56908387" w:rsidR="00045399" w:rsidRDefault="00045399" w:rsidP="003E7536">
      <w:pPr>
        <w:spacing w:before="120" w:after="120" w:line="276" w:lineRule="auto"/>
        <w:jc w:val="both"/>
      </w:pPr>
      <w:r>
        <w:t xml:space="preserve">In an era of increased digital payments, misdirected payments are inevitable. </w:t>
      </w:r>
      <w:r w:rsidR="00D0039D">
        <w:t>Fortunately</w:t>
      </w:r>
      <w:r>
        <w:t xml:space="preserve">, comparative jurisdictions offer guidance on best practices which the </w:t>
      </w:r>
      <w:r w:rsidR="00D0039D">
        <w:t xml:space="preserve">Kenyan </w:t>
      </w:r>
      <w:r>
        <w:t>financial sector may consider adopting.</w:t>
      </w:r>
    </w:p>
    <w:p w14:paraId="18790D9F" w14:textId="02C1EE92" w:rsidR="00045399" w:rsidRDefault="002F2E57" w:rsidP="003E7536">
      <w:pPr>
        <w:spacing w:before="120" w:after="120" w:line="276" w:lineRule="auto"/>
        <w:jc w:val="both"/>
      </w:pPr>
      <w:r w:rsidRPr="000D4396">
        <w:rPr>
          <w:b/>
          <w:bCs/>
          <w:color w:val="00B050"/>
        </w:rPr>
        <w:t>Verification of Payee</w:t>
      </w:r>
      <w:r>
        <w:rPr>
          <w:b/>
          <w:bCs/>
        </w:rPr>
        <w:t xml:space="preserve"> </w:t>
      </w:r>
      <w:r w:rsidR="004D23BE">
        <w:t>–</w:t>
      </w:r>
      <w:r>
        <w:rPr>
          <w:b/>
          <w:bCs/>
        </w:rPr>
        <w:t xml:space="preserve"> </w:t>
      </w:r>
      <w:r w:rsidR="004D23BE" w:rsidRPr="000D4396">
        <w:t>payment</w:t>
      </w:r>
      <w:r w:rsidR="004D23BE">
        <w:t xml:space="preserve"> systems can adopt payee verification as a standard. This modification, similar to what M</w:t>
      </w:r>
      <w:r w:rsidR="00F56EA2">
        <w:t>-</w:t>
      </w:r>
      <w:proofErr w:type="spellStart"/>
      <w:r w:rsidR="004D23BE">
        <w:t>pesa</w:t>
      </w:r>
      <w:proofErr w:type="spellEnd"/>
      <w:r w:rsidR="004D23BE">
        <w:t xml:space="preserve"> provides, allows the payer to verify if the beneficiary is who they intend before they confirm payment instructions.</w:t>
      </w:r>
    </w:p>
    <w:p w14:paraId="3AB566DA" w14:textId="3C8890A3" w:rsidR="00D0039D" w:rsidRDefault="00D0039D" w:rsidP="003E7536">
      <w:pPr>
        <w:spacing w:before="120" w:after="120" w:line="276" w:lineRule="auto"/>
        <w:jc w:val="both"/>
      </w:pPr>
      <w:r w:rsidRPr="000D4396">
        <w:rPr>
          <w:b/>
          <w:bCs/>
          <w:color w:val="00B050"/>
        </w:rPr>
        <w:t xml:space="preserve">Credit Payment Recovery </w:t>
      </w:r>
      <w:r w:rsidR="00381CA0">
        <w:rPr>
          <w:b/>
          <w:bCs/>
          <w:color w:val="00B050"/>
        </w:rPr>
        <w:t>(</w:t>
      </w:r>
      <w:r w:rsidR="000B3B4D">
        <w:rPr>
          <w:b/>
          <w:bCs/>
          <w:color w:val="00B050"/>
        </w:rPr>
        <w:t>CPR</w:t>
      </w:r>
      <w:r w:rsidR="00381CA0">
        <w:rPr>
          <w:b/>
          <w:bCs/>
          <w:color w:val="00B050"/>
        </w:rPr>
        <w:t xml:space="preserve">) </w:t>
      </w:r>
      <w:r w:rsidRPr="000D4396">
        <w:rPr>
          <w:b/>
          <w:bCs/>
          <w:color w:val="00B050"/>
        </w:rPr>
        <w:t>Process</w:t>
      </w:r>
      <w:r>
        <w:rPr>
          <w:b/>
          <w:bCs/>
        </w:rPr>
        <w:t xml:space="preserve"> </w:t>
      </w:r>
      <w:r w:rsidR="00381CA0">
        <w:t>–</w:t>
      </w:r>
      <w:r w:rsidR="00BE5912">
        <w:t xml:space="preserve"> </w:t>
      </w:r>
      <w:r w:rsidR="00381CA0">
        <w:t xml:space="preserve">the </w:t>
      </w:r>
      <w:r w:rsidR="00BE5912">
        <w:t xml:space="preserve">banking industry in the </w:t>
      </w:r>
      <w:r w:rsidR="00381CA0">
        <w:t xml:space="preserve">UK, </w:t>
      </w:r>
      <w:r w:rsidR="00BE5912">
        <w:t xml:space="preserve">has </w:t>
      </w:r>
      <w:r w:rsidR="00381CA0">
        <w:t>adopted a</w:t>
      </w:r>
      <w:r w:rsidR="00BE5912">
        <w:t xml:space="preserve"> </w:t>
      </w:r>
      <w:r w:rsidR="004F46C5">
        <w:t xml:space="preserve">standard </w:t>
      </w:r>
      <w:r w:rsidR="00900982">
        <w:t xml:space="preserve">process for recovering erroneous payments. </w:t>
      </w:r>
      <w:r w:rsidR="001E40A4">
        <w:t xml:space="preserve">The </w:t>
      </w:r>
      <w:r w:rsidR="000B3B4D">
        <w:t xml:space="preserve">CPR </w:t>
      </w:r>
      <w:r w:rsidR="001E40A4">
        <w:t xml:space="preserve">Process sets out how a </w:t>
      </w:r>
      <w:r w:rsidR="00900982">
        <w:t xml:space="preserve">payee </w:t>
      </w:r>
      <w:r w:rsidR="001E40A4">
        <w:t>would make their claim, how the institutions involved would respond, and the timelines for doing so.</w:t>
      </w:r>
    </w:p>
    <w:p w14:paraId="5B50BD51" w14:textId="559A6CC1" w:rsidR="00E02358" w:rsidRDefault="00BE5912" w:rsidP="00E02358">
      <w:pPr>
        <w:widowControl w:val="0"/>
        <w:spacing w:before="60" w:after="60" w:line="276" w:lineRule="auto"/>
        <w:contextualSpacing/>
        <w:jc w:val="both"/>
      </w:pPr>
      <w:r>
        <w:t xml:space="preserve">These interventions which </w:t>
      </w:r>
      <w:r w:rsidR="0019194A">
        <w:t xml:space="preserve">will </w:t>
      </w:r>
      <w:r>
        <w:t xml:space="preserve">require industry </w:t>
      </w:r>
      <w:r w:rsidR="0019194A">
        <w:t xml:space="preserve">consensus and </w:t>
      </w:r>
      <w:r>
        <w:t xml:space="preserve">effort </w:t>
      </w:r>
      <w:r w:rsidR="0019194A">
        <w:t xml:space="preserve">will </w:t>
      </w:r>
      <w:r>
        <w:t xml:space="preserve">go a long way in simplifying </w:t>
      </w:r>
      <w:r w:rsidR="0019194A">
        <w:t xml:space="preserve">resolution of </w:t>
      </w:r>
      <w:r>
        <w:t>disputed transactions.</w:t>
      </w:r>
    </w:p>
    <w:p w14:paraId="18A6FAC0" w14:textId="77777777" w:rsidR="00BE5912" w:rsidRDefault="00BE5912" w:rsidP="00E02358">
      <w:pPr>
        <w:widowControl w:val="0"/>
        <w:spacing w:before="60" w:after="60" w:line="276" w:lineRule="auto"/>
        <w:contextualSpacing/>
        <w:jc w:val="both"/>
      </w:pPr>
    </w:p>
    <w:p w14:paraId="2FE83C18" w14:textId="77777777" w:rsidR="00E02358" w:rsidRDefault="00E02358" w:rsidP="00E02358">
      <w:pPr>
        <w:widowControl w:val="0"/>
        <w:spacing w:before="60" w:after="60" w:line="276" w:lineRule="auto"/>
        <w:contextualSpacing/>
        <w:jc w:val="both"/>
        <w:sectPr w:rsidR="00E02358" w:rsidSect="000D4396">
          <w:headerReference w:type="default" r:id="rId13"/>
          <w:footerReference w:type="default" r:id="rId14"/>
          <w:type w:val="continuous"/>
          <w:pgSz w:w="11906" w:h="16838"/>
          <w:pgMar w:top="2410" w:right="720" w:bottom="1560" w:left="720" w:header="708" w:footer="708" w:gutter="0"/>
          <w:cols w:num="2" w:space="708"/>
          <w:docGrid w:linePitch="360"/>
        </w:sectPr>
      </w:pPr>
    </w:p>
    <w:p w14:paraId="513940F4" w14:textId="77777777" w:rsidR="00E02358" w:rsidRDefault="00E02358" w:rsidP="00E02358">
      <w:pPr>
        <w:widowControl w:val="0"/>
        <w:spacing w:before="60" w:after="60" w:line="276" w:lineRule="auto"/>
        <w:contextualSpacing/>
        <w:jc w:val="both"/>
      </w:pPr>
    </w:p>
    <w:p w14:paraId="6765C74F" w14:textId="70E50C90" w:rsidR="00E02358" w:rsidRDefault="00E02358" w:rsidP="00E02358">
      <w:pPr>
        <w:widowControl w:val="0"/>
        <w:spacing w:before="60" w:after="60" w:line="276" w:lineRule="auto"/>
        <w:contextualSpacing/>
        <w:jc w:val="both"/>
      </w:pPr>
    </w:p>
    <w:p w14:paraId="7CF83561" w14:textId="77777777" w:rsidR="00923A07" w:rsidRDefault="00923A07" w:rsidP="00E02358">
      <w:pPr>
        <w:widowControl w:val="0"/>
        <w:spacing w:before="60" w:after="60" w:line="276" w:lineRule="auto"/>
        <w:contextualSpacing/>
        <w:jc w:val="both"/>
        <w:rPr>
          <w:sz w:val="18"/>
          <w:szCs w:val="18"/>
        </w:rPr>
      </w:pPr>
    </w:p>
    <w:p w14:paraId="013E18A7" w14:textId="77777777" w:rsidR="000C29BE" w:rsidRDefault="000C29BE" w:rsidP="000C29BE">
      <w:pPr>
        <w:widowControl w:val="0"/>
        <w:spacing w:before="60" w:after="60" w:line="276" w:lineRule="auto"/>
        <w:ind w:right="201"/>
        <w:contextualSpacing/>
        <w:jc w:val="both"/>
        <w:rPr>
          <w:sz w:val="18"/>
          <w:szCs w:val="18"/>
        </w:rPr>
      </w:pPr>
    </w:p>
    <w:p w14:paraId="46393CF1" w14:textId="4BE56C1C" w:rsidR="00B7483B" w:rsidRPr="00E02358" w:rsidRDefault="00B7483B" w:rsidP="000C29BE">
      <w:pPr>
        <w:widowControl w:val="0"/>
        <w:spacing w:before="60" w:after="60" w:line="276" w:lineRule="auto"/>
        <w:ind w:right="201"/>
        <w:contextualSpacing/>
        <w:jc w:val="both"/>
      </w:pPr>
      <w:r w:rsidRPr="00DD4DBF">
        <w:rPr>
          <w:sz w:val="18"/>
          <w:szCs w:val="18"/>
        </w:rPr>
        <w:t>DISCLAIMER:</w:t>
      </w:r>
    </w:p>
    <w:p w14:paraId="67B4D18B" w14:textId="131A314B" w:rsidR="00863C91" w:rsidRDefault="00B7483B" w:rsidP="000C29BE">
      <w:pPr>
        <w:widowControl w:val="0"/>
        <w:spacing w:before="60" w:after="60" w:line="240" w:lineRule="auto"/>
        <w:ind w:right="201"/>
        <w:contextualSpacing/>
        <w:jc w:val="both"/>
        <w:rPr>
          <w:i/>
          <w:iCs/>
          <w:sz w:val="18"/>
          <w:szCs w:val="18"/>
        </w:rPr>
      </w:pPr>
      <w:r w:rsidRPr="00DD4DBF">
        <w:rPr>
          <w:i/>
          <w:iCs/>
          <w:sz w:val="18"/>
          <w:szCs w:val="18"/>
        </w:rPr>
        <w:t xml:space="preserve">This alert highlights legal matters, legislative and policy changes for general use only. It </w:t>
      </w:r>
      <w:r>
        <w:rPr>
          <w:i/>
          <w:iCs/>
          <w:sz w:val="18"/>
          <w:szCs w:val="18"/>
        </w:rPr>
        <w:t xml:space="preserve">does </w:t>
      </w:r>
      <w:r w:rsidRPr="00DD4DBF">
        <w:rPr>
          <w:i/>
          <w:iCs/>
          <w:sz w:val="18"/>
          <w:szCs w:val="18"/>
        </w:rPr>
        <w:t xml:space="preserve">not create an advocate-client relationship between the sender and its receiver/reader. It </w:t>
      </w:r>
      <w:r>
        <w:rPr>
          <w:i/>
          <w:iCs/>
          <w:sz w:val="18"/>
          <w:szCs w:val="18"/>
        </w:rPr>
        <w:t xml:space="preserve">is not </w:t>
      </w:r>
      <w:r w:rsidR="000C29BE">
        <w:rPr>
          <w:i/>
          <w:iCs/>
          <w:sz w:val="18"/>
          <w:szCs w:val="18"/>
        </w:rPr>
        <w:t xml:space="preserve">legal advice or legal opinion. </w:t>
      </w:r>
      <w:r w:rsidRPr="00DD4DBF">
        <w:rPr>
          <w:i/>
          <w:iCs/>
          <w:sz w:val="18"/>
          <w:szCs w:val="18"/>
        </w:rPr>
        <w:t>You should not act or rely on this briefing without consulting an advocate.</w:t>
      </w:r>
    </w:p>
    <w:p w14:paraId="6EE1CA28" w14:textId="77777777" w:rsidR="0047275F" w:rsidRDefault="0047275F" w:rsidP="000C29BE">
      <w:pPr>
        <w:widowControl w:val="0"/>
        <w:spacing w:before="60" w:after="60" w:line="240" w:lineRule="auto"/>
        <w:ind w:right="201"/>
        <w:contextualSpacing/>
        <w:jc w:val="both"/>
        <w:rPr>
          <w:i/>
          <w:iCs/>
          <w:sz w:val="18"/>
          <w:szCs w:val="18"/>
        </w:rPr>
      </w:pPr>
    </w:p>
    <w:p w14:paraId="6350E49D" w14:textId="6A256303" w:rsidR="0047275F" w:rsidRPr="0047275F" w:rsidRDefault="0047275F" w:rsidP="0047275F">
      <w:pPr>
        <w:widowControl w:val="0"/>
        <w:spacing w:before="60" w:after="60" w:line="240" w:lineRule="auto"/>
        <w:ind w:right="201"/>
        <w:contextualSpacing/>
        <w:jc w:val="both"/>
        <w:rPr>
          <w:i/>
          <w:iCs/>
          <w:sz w:val="18"/>
          <w:szCs w:val="18"/>
        </w:rPr>
      </w:pPr>
      <w:r w:rsidRPr="0047275F">
        <w:rPr>
          <w:i/>
          <w:iCs/>
          <w:sz w:val="18"/>
          <w:szCs w:val="18"/>
        </w:rPr>
        <w:t>Contributors</w:t>
      </w:r>
      <w:r w:rsidR="008958F4">
        <w:rPr>
          <w:i/>
          <w:iCs/>
          <w:sz w:val="18"/>
          <w:szCs w:val="18"/>
        </w:rPr>
        <w:t>:</w:t>
      </w:r>
      <w:r w:rsidRPr="0047275F">
        <w:rPr>
          <w:i/>
          <w:iCs/>
          <w:sz w:val="18"/>
          <w:szCs w:val="18"/>
        </w:rPr>
        <w:t xml:space="preserve"> </w:t>
      </w:r>
    </w:p>
    <w:p w14:paraId="2F704509" w14:textId="47B89C43" w:rsidR="0047275F" w:rsidRPr="0047275F" w:rsidRDefault="0047275F" w:rsidP="0047275F">
      <w:pPr>
        <w:widowControl w:val="0"/>
        <w:spacing w:before="60" w:after="60" w:line="240" w:lineRule="auto"/>
        <w:ind w:right="201"/>
        <w:contextualSpacing/>
        <w:jc w:val="both"/>
        <w:rPr>
          <w:i/>
          <w:iCs/>
          <w:sz w:val="18"/>
          <w:szCs w:val="18"/>
        </w:rPr>
      </w:pPr>
      <w:r w:rsidRPr="0047275F">
        <w:rPr>
          <w:i/>
          <w:iCs/>
          <w:sz w:val="18"/>
          <w:szCs w:val="18"/>
        </w:rPr>
        <w:t xml:space="preserve">1. </w:t>
      </w:r>
      <w:r w:rsidR="000B3B4D">
        <w:rPr>
          <w:i/>
          <w:iCs/>
          <w:sz w:val="18"/>
          <w:szCs w:val="18"/>
        </w:rPr>
        <w:t xml:space="preserve">Mugambi </w:t>
      </w:r>
      <w:r>
        <w:rPr>
          <w:i/>
          <w:iCs/>
          <w:sz w:val="18"/>
          <w:szCs w:val="18"/>
        </w:rPr>
        <w:t>Maingi</w:t>
      </w:r>
      <w:r w:rsidRPr="0047275F">
        <w:rPr>
          <w:i/>
          <w:iCs/>
          <w:sz w:val="18"/>
          <w:szCs w:val="18"/>
        </w:rPr>
        <w:t xml:space="preserve"> – </w:t>
      </w:r>
      <w:r>
        <w:rPr>
          <w:i/>
          <w:iCs/>
          <w:sz w:val="18"/>
          <w:szCs w:val="18"/>
        </w:rPr>
        <w:t>Partner</w:t>
      </w:r>
    </w:p>
    <w:p w14:paraId="011539FF" w14:textId="692E20A4" w:rsidR="0047275F" w:rsidRPr="0047275F" w:rsidRDefault="0047275F" w:rsidP="0047275F">
      <w:pPr>
        <w:widowControl w:val="0"/>
        <w:spacing w:before="60" w:after="60" w:line="240" w:lineRule="auto"/>
        <w:ind w:right="201"/>
        <w:contextualSpacing/>
        <w:jc w:val="both"/>
        <w:rPr>
          <w:i/>
          <w:iCs/>
          <w:sz w:val="18"/>
          <w:szCs w:val="18"/>
        </w:rPr>
      </w:pPr>
      <w:r w:rsidRPr="0047275F">
        <w:rPr>
          <w:i/>
          <w:iCs/>
          <w:sz w:val="18"/>
          <w:szCs w:val="18"/>
        </w:rPr>
        <w:t xml:space="preserve">2. </w:t>
      </w:r>
      <w:r>
        <w:rPr>
          <w:i/>
          <w:iCs/>
          <w:sz w:val="18"/>
          <w:szCs w:val="18"/>
        </w:rPr>
        <w:t>Emmanuel Mueke</w:t>
      </w:r>
      <w:r w:rsidRPr="0047275F">
        <w:rPr>
          <w:i/>
          <w:iCs/>
          <w:sz w:val="18"/>
          <w:szCs w:val="18"/>
        </w:rPr>
        <w:t xml:space="preserve"> – </w:t>
      </w:r>
      <w:r>
        <w:rPr>
          <w:i/>
          <w:iCs/>
          <w:sz w:val="18"/>
          <w:szCs w:val="18"/>
        </w:rPr>
        <w:t>Partner</w:t>
      </w:r>
    </w:p>
    <w:p w14:paraId="2A54B566" w14:textId="19E843B6" w:rsidR="0047275F" w:rsidRPr="000C29BE" w:rsidRDefault="0047275F" w:rsidP="0047275F">
      <w:pPr>
        <w:widowControl w:val="0"/>
        <w:spacing w:before="60" w:after="60" w:line="240" w:lineRule="auto"/>
        <w:ind w:right="201"/>
        <w:contextualSpacing/>
        <w:jc w:val="both"/>
        <w:rPr>
          <w:i/>
          <w:iCs/>
          <w:sz w:val="18"/>
          <w:szCs w:val="18"/>
        </w:rPr>
      </w:pPr>
      <w:r w:rsidRPr="0047275F">
        <w:rPr>
          <w:i/>
          <w:iCs/>
          <w:sz w:val="18"/>
          <w:szCs w:val="18"/>
        </w:rPr>
        <w:t xml:space="preserve">3. </w:t>
      </w:r>
      <w:r w:rsidR="008958F4">
        <w:rPr>
          <w:i/>
          <w:iCs/>
          <w:sz w:val="18"/>
          <w:szCs w:val="18"/>
        </w:rPr>
        <w:t xml:space="preserve">Bernard Nyaga </w:t>
      </w:r>
      <w:r w:rsidR="008958F4" w:rsidRPr="0047275F">
        <w:rPr>
          <w:i/>
          <w:iCs/>
          <w:sz w:val="18"/>
          <w:szCs w:val="18"/>
        </w:rPr>
        <w:t>–</w:t>
      </w:r>
      <w:r w:rsidRPr="0047275F">
        <w:rPr>
          <w:i/>
          <w:iCs/>
          <w:sz w:val="18"/>
          <w:szCs w:val="18"/>
        </w:rPr>
        <w:t xml:space="preserve"> Trainee </w:t>
      </w:r>
      <w:r w:rsidR="008958F4">
        <w:rPr>
          <w:i/>
          <w:iCs/>
          <w:sz w:val="18"/>
          <w:szCs w:val="18"/>
        </w:rPr>
        <w:t>Advocate</w:t>
      </w:r>
    </w:p>
    <w:sectPr w:rsidR="0047275F" w:rsidRPr="000C29BE" w:rsidSect="00FB5B23">
      <w:type w:val="continuous"/>
      <w:pgSz w:w="11906" w:h="16838"/>
      <w:pgMar w:top="720" w:right="720" w:bottom="156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9D305" w14:textId="77777777" w:rsidR="00172A47" w:rsidRDefault="00172A47" w:rsidP="00B7483B">
      <w:pPr>
        <w:spacing w:after="0" w:line="240" w:lineRule="auto"/>
      </w:pPr>
      <w:r>
        <w:separator/>
      </w:r>
    </w:p>
  </w:endnote>
  <w:endnote w:type="continuationSeparator" w:id="0">
    <w:p w14:paraId="095E5DCD" w14:textId="77777777" w:rsidR="00172A47" w:rsidRDefault="00172A47" w:rsidP="00B7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A98F0" w14:textId="77777777" w:rsidR="00B7483B" w:rsidRDefault="00B7483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752" behindDoc="1" locked="0" layoutInCell="1" allowOverlap="1" wp14:anchorId="177C2063" wp14:editId="0FF34039">
          <wp:simplePos x="0" y="0"/>
          <wp:positionH relativeFrom="page">
            <wp:posOffset>0</wp:posOffset>
          </wp:positionH>
          <wp:positionV relativeFrom="paragraph">
            <wp:posOffset>-755650</wp:posOffset>
          </wp:positionV>
          <wp:extent cx="7547610" cy="120078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5D21">
      <w:rPr>
        <w:noProof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CE05D" w14:textId="1AD607F1" w:rsidR="00A40914" w:rsidRDefault="002E03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824" behindDoc="1" locked="0" layoutInCell="1" allowOverlap="1" wp14:anchorId="1FFB5609" wp14:editId="5672EA16">
          <wp:simplePos x="0" y="0"/>
          <wp:positionH relativeFrom="page">
            <wp:posOffset>-1</wp:posOffset>
          </wp:positionH>
          <wp:positionV relativeFrom="paragraph">
            <wp:posOffset>-596573</wp:posOffset>
          </wp:positionV>
          <wp:extent cx="7590155" cy="1207554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693" cy="12092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4797F" w14:textId="77777777" w:rsidR="00172A47" w:rsidRDefault="00172A47" w:rsidP="00B7483B">
      <w:pPr>
        <w:spacing w:after="0" w:line="240" w:lineRule="auto"/>
      </w:pPr>
      <w:r>
        <w:separator/>
      </w:r>
    </w:p>
  </w:footnote>
  <w:footnote w:type="continuationSeparator" w:id="0">
    <w:p w14:paraId="02372386" w14:textId="77777777" w:rsidR="00172A47" w:rsidRDefault="00172A47" w:rsidP="00B74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5C4FE" w14:textId="676FAE66" w:rsidR="00251F39" w:rsidRDefault="00251F39">
    <w:pPr>
      <w:pStyle w:val="Header"/>
      <w:rPr>
        <w:noProof/>
        <w:lang w:eastAsia="en-GB"/>
      </w:rPr>
    </w:pPr>
    <w:r w:rsidRPr="00251F39"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213647D9" wp14:editId="6C76EFD6">
          <wp:simplePos x="0" y="0"/>
          <wp:positionH relativeFrom="column">
            <wp:posOffset>-535057</wp:posOffset>
          </wp:positionH>
          <wp:positionV relativeFrom="paragraph">
            <wp:posOffset>-460071</wp:posOffset>
          </wp:positionV>
          <wp:extent cx="7675244" cy="1138893"/>
          <wp:effectExtent l="0" t="0" r="254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5244" cy="11388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3AB2ED" w14:textId="77777777" w:rsidR="00251F39" w:rsidRDefault="00251F39">
    <w:pPr>
      <w:pStyle w:val="Header"/>
      <w:rPr>
        <w:noProof/>
        <w:lang w:eastAsia="en-GB"/>
      </w:rPr>
    </w:pPr>
  </w:p>
  <w:p w14:paraId="171E32DF" w14:textId="4BCF7C1F" w:rsidR="00251F39" w:rsidRDefault="00251F39">
    <w:pPr>
      <w:pStyle w:val="Header"/>
      <w:rPr>
        <w:noProof/>
        <w:lang w:eastAsia="en-GB"/>
      </w:rPr>
    </w:pPr>
  </w:p>
  <w:p w14:paraId="22E2FDF4" w14:textId="77777777" w:rsidR="00251F39" w:rsidRDefault="00251F39" w:rsidP="0041729F">
    <w:pPr>
      <w:pStyle w:val="Header"/>
      <w:rPr>
        <w:noProof/>
        <w:lang w:eastAsia="en-GB"/>
      </w:rPr>
    </w:pPr>
  </w:p>
  <w:p w14:paraId="1C7CD411" w14:textId="07CADA82" w:rsidR="00B7483B" w:rsidRPr="00361E72" w:rsidRDefault="00B7483B" w:rsidP="000D4396">
    <w:pPr>
      <w:pStyle w:val="Header"/>
      <w:spacing w:before="120"/>
      <w:rPr>
        <w:rFonts w:ascii="Calibri" w:eastAsia="Calibri" w:hAnsi="Calibri" w:cs="Calibri"/>
        <w:color w:val="000000"/>
        <w:sz w:val="12"/>
        <w:szCs w:val="12"/>
        <w:lang w:eastAsia="en-GB"/>
      </w:rPr>
    </w:pPr>
    <w:r>
      <w:rPr>
        <w:rFonts w:ascii="Calibri" w:eastAsia="Arial" w:hAnsi="Calibri" w:cs="Calibri"/>
        <w:b/>
        <w:bCs/>
        <w:color w:val="000000"/>
        <w:sz w:val="24"/>
        <w:szCs w:val="12"/>
        <w:lang w:val="en-US" w:eastAsia="en-GB"/>
      </w:rPr>
      <w:t>Legal Alert</w:t>
    </w:r>
    <w:r w:rsidRPr="001C3EDC">
      <w:rPr>
        <w:rFonts w:ascii="Calibri" w:eastAsia="Arial" w:hAnsi="Calibri" w:cs="Calibri"/>
        <w:b/>
        <w:bCs/>
        <w:color w:val="000000"/>
        <w:sz w:val="24"/>
        <w:szCs w:val="12"/>
        <w:lang w:val="en-US" w:eastAsia="en-GB"/>
      </w:rPr>
      <w:t xml:space="preserve"> </w:t>
    </w:r>
    <w:r w:rsidRPr="001C3EDC">
      <w:rPr>
        <w:rFonts w:ascii="Calibri" w:eastAsia="Arial" w:hAnsi="Calibri" w:cs="Calibri"/>
        <w:b/>
        <w:color w:val="00B050"/>
        <w:sz w:val="24"/>
        <w:szCs w:val="12"/>
        <w:lang w:eastAsia="en-GB"/>
      </w:rPr>
      <w:t>|</w:t>
    </w:r>
    <w:r w:rsidRPr="001C3EDC">
      <w:rPr>
        <w:rFonts w:ascii="Calibri" w:eastAsia="Arial" w:hAnsi="Calibri" w:cs="Calibri"/>
        <w:b/>
        <w:color w:val="858585"/>
        <w:sz w:val="24"/>
        <w:szCs w:val="12"/>
        <w:lang w:eastAsia="en-GB"/>
        <w14:textFill>
          <w14:gradFill>
            <w14:gsLst>
              <w14:gs w14:pos="0">
                <w14:srgbClr w14:val="4B4B4B">
                  <w14:shade w14:val="30000"/>
                  <w14:satMod w14:val="115000"/>
                </w14:srgbClr>
              </w14:gs>
              <w14:gs w14:pos="50000">
                <w14:srgbClr w14:val="6F6F6F">
                  <w14:shade w14:val="67500"/>
                  <w14:satMod w14:val="115000"/>
                </w14:srgbClr>
              </w14:gs>
              <w14:gs w14:pos="100000">
                <w14:srgbClr w14:val="858585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 xml:space="preserve"> </w:t>
    </w:r>
    <w:r w:rsidR="008958F4">
      <w:rPr>
        <w:rFonts w:ascii="Calibri" w:eastAsia="Arial" w:hAnsi="Calibri" w:cs="Calibri"/>
        <w:b/>
        <w:color w:val="858585"/>
        <w:sz w:val="24"/>
        <w:szCs w:val="12"/>
        <w:lang w:eastAsia="en-GB"/>
        <w14:textFill>
          <w14:gradFill>
            <w14:gsLst>
              <w14:gs w14:pos="0">
                <w14:srgbClr w14:val="4B4B4B">
                  <w14:shade w14:val="30000"/>
                  <w14:satMod w14:val="115000"/>
                </w14:srgbClr>
              </w14:gs>
              <w14:gs w14:pos="50000">
                <w14:srgbClr w14:val="6F6F6F">
                  <w14:shade w14:val="67500"/>
                  <w14:satMod w14:val="115000"/>
                </w14:srgbClr>
              </w14:gs>
              <w14:gs w14:pos="100000">
                <w14:srgbClr w14:val="858585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>June 6</w:t>
    </w:r>
    <w:r w:rsidRPr="001C3EDC">
      <w:rPr>
        <w:rFonts w:ascii="Calibri" w:eastAsia="Arial" w:hAnsi="Calibri" w:cs="Calibri"/>
        <w:b/>
        <w:color w:val="858585"/>
        <w:sz w:val="24"/>
        <w:szCs w:val="12"/>
        <w:lang w:eastAsia="en-GB"/>
        <w14:textFill>
          <w14:gradFill>
            <w14:gsLst>
              <w14:gs w14:pos="0">
                <w14:srgbClr w14:val="4B4B4B">
                  <w14:shade w14:val="30000"/>
                  <w14:satMod w14:val="115000"/>
                </w14:srgbClr>
              </w14:gs>
              <w14:gs w14:pos="50000">
                <w14:srgbClr w14:val="6F6F6F">
                  <w14:shade w14:val="67500"/>
                  <w14:satMod w14:val="115000"/>
                </w14:srgbClr>
              </w14:gs>
              <w14:gs w14:pos="100000">
                <w14:srgbClr w14:val="858585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>, 202</w:t>
    </w:r>
    <w:r>
      <w:rPr>
        <w:rFonts w:ascii="Calibri" w:eastAsia="Arial" w:hAnsi="Calibri" w:cs="Calibri"/>
        <w:b/>
        <w:color w:val="858585"/>
        <w:sz w:val="24"/>
        <w:szCs w:val="12"/>
        <w:lang w:eastAsia="en-GB"/>
        <w14:textFill>
          <w14:gradFill>
            <w14:gsLst>
              <w14:gs w14:pos="0">
                <w14:srgbClr w14:val="4B4B4B">
                  <w14:shade w14:val="30000"/>
                  <w14:satMod w14:val="115000"/>
                </w14:srgbClr>
              </w14:gs>
              <w14:gs w14:pos="50000">
                <w14:srgbClr w14:val="6F6F6F">
                  <w14:shade w14:val="67500"/>
                  <w14:satMod w14:val="115000"/>
                </w14:srgbClr>
              </w14:gs>
              <w14:gs w14:pos="100000">
                <w14:srgbClr w14:val="858585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7E83E" w14:textId="77777777" w:rsidR="00A40914" w:rsidRDefault="00E02358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EADB66D" wp14:editId="293C55AE">
          <wp:simplePos x="0" y="0"/>
          <wp:positionH relativeFrom="page">
            <wp:align>left</wp:align>
          </wp:positionH>
          <wp:positionV relativeFrom="paragraph">
            <wp:posOffset>-449742</wp:posOffset>
          </wp:positionV>
          <wp:extent cx="7590155" cy="1024255"/>
          <wp:effectExtent l="0" t="0" r="0" b="444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C56C83" w14:textId="77777777" w:rsidR="00A40914" w:rsidRDefault="00A40914">
    <w:pPr>
      <w:pStyle w:val="Header"/>
      <w:rPr>
        <w:noProof/>
        <w:lang w:eastAsia="en-GB"/>
      </w:rPr>
    </w:pPr>
  </w:p>
  <w:p w14:paraId="12E0BD34" w14:textId="77777777" w:rsidR="00A40914" w:rsidRDefault="00A40914">
    <w:pPr>
      <w:pStyle w:val="Header"/>
      <w:rPr>
        <w:noProof/>
        <w:lang w:eastAsia="en-GB"/>
      </w:rPr>
    </w:pPr>
  </w:p>
  <w:p w14:paraId="52C71EAD" w14:textId="104F83E5" w:rsidR="00A40914" w:rsidRPr="00361E72" w:rsidRDefault="00E02358" w:rsidP="000D4396">
    <w:pPr>
      <w:spacing w:before="240" w:after="120" w:line="0" w:lineRule="atLeast"/>
      <w:rPr>
        <w:rFonts w:ascii="Calibri" w:eastAsia="Calibri" w:hAnsi="Calibri" w:cs="Calibri"/>
        <w:color w:val="000000"/>
        <w:sz w:val="12"/>
        <w:szCs w:val="12"/>
        <w:lang w:eastAsia="en-GB"/>
      </w:rPr>
    </w:pPr>
    <w:r>
      <w:rPr>
        <w:rFonts w:ascii="Calibri" w:eastAsia="Arial" w:hAnsi="Calibri" w:cs="Calibri"/>
        <w:b/>
        <w:bCs/>
        <w:color w:val="000000"/>
        <w:sz w:val="24"/>
        <w:szCs w:val="12"/>
        <w:lang w:val="en-US" w:eastAsia="en-GB"/>
      </w:rPr>
      <w:t>Legal Alert</w:t>
    </w:r>
    <w:r w:rsidRPr="001C3EDC">
      <w:rPr>
        <w:rFonts w:ascii="Calibri" w:eastAsia="Arial" w:hAnsi="Calibri" w:cs="Calibri"/>
        <w:b/>
        <w:bCs/>
        <w:color w:val="000000"/>
        <w:sz w:val="24"/>
        <w:szCs w:val="12"/>
        <w:lang w:val="en-US" w:eastAsia="en-GB"/>
      </w:rPr>
      <w:t xml:space="preserve"> </w:t>
    </w:r>
    <w:r w:rsidRPr="001C3EDC">
      <w:rPr>
        <w:rFonts w:ascii="Calibri" w:eastAsia="Arial" w:hAnsi="Calibri" w:cs="Calibri"/>
        <w:b/>
        <w:color w:val="00B050"/>
        <w:sz w:val="24"/>
        <w:szCs w:val="12"/>
        <w:lang w:eastAsia="en-GB"/>
      </w:rPr>
      <w:t>|</w:t>
    </w:r>
    <w:r w:rsidRPr="001C3EDC">
      <w:rPr>
        <w:rFonts w:ascii="Calibri" w:eastAsia="Arial" w:hAnsi="Calibri" w:cs="Calibri"/>
        <w:b/>
        <w:color w:val="858585"/>
        <w:sz w:val="24"/>
        <w:szCs w:val="12"/>
        <w:lang w:eastAsia="en-GB"/>
        <w14:textFill>
          <w14:gradFill>
            <w14:gsLst>
              <w14:gs w14:pos="0">
                <w14:srgbClr w14:val="4B4B4B">
                  <w14:shade w14:val="30000"/>
                  <w14:satMod w14:val="115000"/>
                </w14:srgbClr>
              </w14:gs>
              <w14:gs w14:pos="50000">
                <w14:srgbClr w14:val="6F6F6F">
                  <w14:shade w14:val="67500"/>
                  <w14:satMod w14:val="115000"/>
                </w14:srgbClr>
              </w14:gs>
              <w14:gs w14:pos="100000">
                <w14:srgbClr w14:val="858585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 xml:space="preserve"> </w:t>
    </w:r>
    <w:r w:rsidR="000B3B4D">
      <w:rPr>
        <w:rFonts w:ascii="Calibri" w:eastAsia="Arial" w:hAnsi="Calibri" w:cs="Calibri"/>
        <w:b/>
        <w:color w:val="858585"/>
        <w:sz w:val="24"/>
        <w:szCs w:val="12"/>
        <w:lang w:eastAsia="en-GB"/>
        <w14:textFill>
          <w14:gradFill>
            <w14:gsLst>
              <w14:gs w14:pos="0">
                <w14:srgbClr w14:val="4B4B4B">
                  <w14:shade w14:val="30000"/>
                  <w14:satMod w14:val="115000"/>
                </w14:srgbClr>
              </w14:gs>
              <w14:gs w14:pos="50000">
                <w14:srgbClr w14:val="6F6F6F">
                  <w14:shade w14:val="67500"/>
                  <w14:satMod w14:val="115000"/>
                </w14:srgbClr>
              </w14:gs>
              <w14:gs w14:pos="100000">
                <w14:srgbClr w14:val="858585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>June 06</w:t>
    </w:r>
    <w:r w:rsidRPr="001C3EDC">
      <w:rPr>
        <w:rFonts w:ascii="Calibri" w:eastAsia="Arial" w:hAnsi="Calibri" w:cs="Calibri"/>
        <w:b/>
        <w:color w:val="858585"/>
        <w:sz w:val="24"/>
        <w:szCs w:val="12"/>
        <w:lang w:eastAsia="en-GB"/>
        <w14:textFill>
          <w14:gradFill>
            <w14:gsLst>
              <w14:gs w14:pos="0">
                <w14:srgbClr w14:val="4B4B4B">
                  <w14:shade w14:val="30000"/>
                  <w14:satMod w14:val="115000"/>
                </w14:srgbClr>
              </w14:gs>
              <w14:gs w14:pos="50000">
                <w14:srgbClr w14:val="6F6F6F">
                  <w14:shade w14:val="67500"/>
                  <w14:satMod w14:val="115000"/>
                </w14:srgbClr>
              </w14:gs>
              <w14:gs w14:pos="100000">
                <w14:srgbClr w14:val="858585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>, 202</w:t>
    </w:r>
    <w:r w:rsidR="00355B4E">
      <w:rPr>
        <w:rFonts w:ascii="Calibri" w:eastAsia="Arial" w:hAnsi="Calibri" w:cs="Calibri"/>
        <w:b/>
        <w:color w:val="858585"/>
        <w:sz w:val="24"/>
        <w:szCs w:val="12"/>
        <w:lang w:eastAsia="en-GB"/>
        <w14:textFill>
          <w14:gradFill>
            <w14:gsLst>
              <w14:gs w14:pos="0">
                <w14:srgbClr w14:val="4B4B4B">
                  <w14:shade w14:val="30000"/>
                  <w14:satMod w14:val="115000"/>
                </w14:srgbClr>
              </w14:gs>
              <w14:gs w14:pos="50000">
                <w14:srgbClr w14:val="6F6F6F">
                  <w14:shade w14:val="67500"/>
                  <w14:satMod w14:val="115000"/>
                </w14:srgbClr>
              </w14:gs>
              <w14:gs w14:pos="100000">
                <w14:srgbClr w14:val="858585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43BAA"/>
    <w:multiLevelType w:val="hybridMultilevel"/>
    <w:tmpl w:val="59382F18"/>
    <w:lvl w:ilvl="0" w:tplc="26D28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5533C"/>
    <w:multiLevelType w:val="hybridMultilevel"/>
    <w:tmpl w:val="40F41DA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C5195"/>
    <w:multiLevelType w:val="multilevel"/>
    <w:tmpl w:val="A42E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5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A552FF"/>
    <w:multiLevelType w:val="hybridMultilevel"/>
    <w:tmpl w:val="AB9E784E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153178059">
    <w:abstractNumId w:val="2"/>
  </w:num>
  <w:num w:numId="2" w16cid:durableId="1673527712">
    <w:abstractNumId w:val="3"/>
  </w:num>
  <w:num w:numId="3" w16cid:durableId="1616399243">
    <w:abstractNumId w:val="0"/>
  </w:num>
  <w:num w:numId="4" w16cid:durableId="907888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3B"/>
    <w:rsid w:val="00003DB1"/>
    <w:rsid w:val="00012CFC"/>
    <w:rsid w:val="000312D6"/>
    <w:rsid w:val="00040763"/>
    <w:rsid w:val="00045399"/>
    <w:rsid w:val="0006350C"/>
    <w:rsid w:val="00067BA7"/>
    <w:rsid w:val="0009742E"/>
    <w:rsid w:val="000A04C0"/>
    <w:rsid w:val="000A68EF"/>
    <w:rsid w:val="000B3B4D"/>
    <w:rsid w:val="000B5C29"/>
    <w:rsid w:val="000C29BE"/>
    <w:rsid w:val="000C4331"/>
    <w:rsid w:val="000D4396"/>
    <w:rsid w:val="000D4D7D"/>
    <w:rsid w:val="000D6560"/>
    <w:rsid w:val="0010064A"/>
    <w:rsid w:val="001376B1"/>
    <w:rsid w:val="00172A47"/>
    <w:rsid w:val="00181131"/>
    <w:rsid w:val="00186E2D"/>
    <w:rsid w:val="0019194A"/>
    <w:rsid w:val="001E40A4"/>
    <w:rsid w:val="001E5847"/>
    <w:rsid w:val="001F4E45"/>
    <w:rsid w:val="00212A00"/>
    <w:rsid w:val="0022667B"/>
    <w:rsid w:val="00234E83"/>
    <w:rsid w:val="00251F39"/>
    <w:rsid w:val="002730EB"/>
    <w:rsid w:val="00274D6D"/>
    <w:rsid w:val="002907E7"/>
    <w:rsid w:val="002E0360"/>
    <w:rsid w:val="002F2E57"/>
    <w:rsid w:val="002F4BD7"/>
    <w:rsid w:val="00302AB3"/>
    <w:rsid w:val="00304288"/>
    <w:rsid w:val="0030617B"/>
    <w:rsid w:val="00344E12"/>
    <w:rsid w:val="00355B4E"/>
    <w:rsid w:val="00381CA0"/>
    <w:rsid w:val="003D3850"/>
    <w:rsid w:val="003D702E"/>
    <w:rsid w:val="003E0B0C"/>
    <w:rsid w:val="003E53EC"/>
    <w:rsid w:val="003E69A2"/>
    <w:rsid w:val="003E7536"/>
    <w:rsid w:val="0041039A"/>
    <w:rsid w:val="0041223A"/>
    <w:rsid w:val="0041729F"/>
    <w:rsid w:val="0047275F"/>
    <w:rsid w:val="00486CF4"/>
    <w:rsid w:val="004878C2"/>
    <w:rsid w:val="00497408"/>
    <w:rsid w:val="004A68E4"/>
    <w:rsid w:val="004D23BE"/>
    <w:rsid w:val="004F46C5"/>
    <w:rsid w:val="004F4C14"/>
    <w:rsid w:val="00510CB5"/>
    <w:rsid w:val="00544BDE"/>
    <w:rsid w:val="005518B2"/>
    <w:rsid w:val="00553248"/>
    <w:rsid w:val="00574F0D"/>
    <w:rsid w:val="0058623D"/>
    <w:rsid w:val="00590331"/>
    <w:rsid w:val="00594F8C"/>
    <w:rsid w:val="00596213"/>
    <w:rsid w:val="005C4DA2"/>
    <w:rsid w:val="00606B9F"/>
    <w:rsid w:val="006166AC"/>
    <w:rsid w:val="00637DEF"/>
    <w:rsid w:val="00656F54"/>
    <w:rsid w:val="00681F26"/>
    <w:rsid w:val="00687B91"/>
    <w:rsid w:val="006B3615"/>
    <w:rsid w:val="006C4345"/>
    <w:rsid w:val="006C7152"/>
    <w:rsid w:val="006D07C5"/>
    <w:rsid w:val="006D326F"/>
    <w:rsid w:val="0071376D"/>
    <w:rsid w:val="007416CC"/>
    <w:rsid w:val="007432BD"/>
    <w:rsid w:val="007509F6"/>
    <w:rsid w:val="00753613"/>
    <w:rsid w:val="00781455"/>
    <w:rsid w:val="00792C23"/>
    <w:rsid w:val="007B7B4C"/>
    <w:rsid w:val="007D4934"/>
    <w:rsid w:val="007D509E"/>
    <w:rsid w:val="007E4749"/>
    <w:rsid w:val="008259BD"/>
    <w:rsid w:val="00826E3A"/>
    <w:rsid w:val="0083690D"/>
    <w:rsid w:val="0085227A"/>
    <w:rsid w:val="00852E35"/>
    <w:rsid w:val="00863C91"/>
    <w:rsid w:val="008958F4"/>
    <w:rsid w:val="00897049"/>
    <w:rsid w:val="008A604F"/>
    <w:rsid w:val="008C0B5B"/>
    <w:rsid w:val="008C55BE"/>
    <w:rsid w:val="008D2F77"/>
    <w:rsid w:val="008E24B9"/>
    <w:rsid w:val="00900982"/>
    <w:rsid w:val="00914B8B"/>
    <w:rsid w:val="009155CD"/>
    <w:rsid w:val="00923A07"/>
    <w:rsid w:val="00957E35"/>
    <w:rsid w:val="00960289"/>
    <w:rsid w:val="00963B8F"/>
    <w:rsid w:val="009929CE"/>
    <w:rsid w:val="009A437A"/>
    <w:rsid w:val="00A03FA9"/>
    <w:rsid w:val="00A101D2"/>
    <w:rsid w:val="00A12AB4"/>
    <w:rsid w:val="00A40914"/>
    <w:rsid w:val="00A46A5B"/>
    <w:rsid w:val="00A76722"/>
    <w:rsid w:val="00A91FFE"/>
    <w:rsid w:val="00AA6B0F"/>
    <w:rsid w:val="00AB45D0"/>
    <w:rsid w:val="00B06659"/>
    <w:rsid w:val="00B1440C"/>
    <w:rsid w:val="00B16DED"/>
    <w:rsid w:val="00B22426"/>
    <w:rsid w:val="00B61191"/>
    <w:rsid w:val="00B63A4D"/>
    <w:rsid w:val="00B675A9"/>
    <w:rsid w:val="00B73834"/>
    <w:rsid w:val="00B7483B"/>
    <w:rsid w:val="00B85C9E"/>
    <w:rsid w:val="00B9279E"/>
    <w:rsid w:val="00B942C0"/>
    <w:rsid w:val="00BA466F"/>
    <w:rsid w:val="00BE381C"/>
    <w:rsid w:val="00BE5912"/>
    <w:rsid w:val="00C10453"/>
    <w:rsid w:val="00C17813"/>
    <w:rsid w:val="00C2147D"/>
    <w:rsid w:val="00C37BAB"/>
    <w:rsid w:val="00C40CEB"/>
    <w:rsid w:val="00C4149B"/>
    <w:rsid w:val="00C56860"/>
    <w:rsid w:val="00C62E51"/>
    <w:rsid w:val="00CB0C6A"/>
    <w:rsid w:val="00CB2380"/>
    <w:rsid w:val="00CC25FB"/>
    <w:rsid w:val="00CC6B87"/>
    <w:rsid w:val="00D0039D"/>
    <w:rsid w:val="00D85B2B"/>
    <w:rsid w:val="00DA1324"/>
    <w:rsid w:val="00DB709B"/>
    <w:rsid w:val="00DC185D"/>
    <w:rsid w:val="00DE1540"/>
    <w:rsid w:val="00DE49A7"/>
    <w:rsid w:val="00DE4B1C"/>
    <w:rsid w:val="00DE751F"/>
    <w:rsid w:val="00DF0F3B"/>
    <w:rsid w:val="00E02358"/>
    <w:rsid w:val="00E218C4"/>
    <w:rsid w:val="00E229D5"/>
    <w:rsid w:val="00E33F55"/>
    <w:rsid w:val="00E41650"/>
    <w:rsid w:val="00E65047"/>
    <w:rsid w:val="00E714C7"/>
    <w:rsid w:val="00E80400"/>
    <w:rsid w:val="00E82E1A"/>
    <w:rsid w:val="00E92022"/>
    <w:rsid w:val="00EA5DC1"/>
    <w:rsid w:val="00EC248B"/>
    <w:rsid w:val="00F10716"/>
    <w:rsid w:val="00F1624D"/>
    <w:rsid w:val="00F16573"/>
    <w:rsid w:val="00F56EA2"/>
    <w:rsid w:val="00F62830"/>
    <w:rsid w:val="00F7124C"/>
    <w:rsid w:val="00F86A4D"/>
    <w:rsid w:val="00FA5390"/>
    <w:rsid w:val="00FB1475"/>
    <w:rsid w:val="00FB6C55"/>
    <w:rsid w:val="00FC2238"/>
    <w:rsid w:val="00FE4871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57234"/>
  <w15:chartTrackingRefBased/>
  <w15:docId w15:val="{E9EED411-9659-4622-A5AC-490023BB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83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83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74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83B"/>
    <w:rPr>
      <w:lang w:val="en-GB"/>
    </w:rPr>
  </w:style>
  <w:style w:type="character" w:styleId="Hyperlink">
    <w:name w:val="Hyperlink"/>
    <w:basedOn w:val="DefaultParagraphFont"/>
    <w:uiPriority w:val="99"/>
    <w:unhideWhenUsed/>
    <w:rsid w:val="00B7483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48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483B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7483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4C1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4C14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4F4C14"/>
    <w:rPr>
      <w:vertAlign w:val="superscript"/>
    </w:rPr>
  </w:style>
  <w:style w:type="paragraph" w:styleId="ListParagraph">
    <w:name w:val="List Paragraph"/>
    <w:basedOn w:val="Normal"/>
    <w:uiPriority w:val="34"/>
    <w:qFormat/>
    <w:rsid w:val="00C214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4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B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B8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B8B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396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0B3B4D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74305-dad2-4bee-b24d-de0e68eebb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693E1997E5C64B9EA532211516D00D" ma:contentTypeVersion="17" ma:contentTypeDescription="Create a new document." ma:contentTypeScope="" ma:versionID="9d02bef8dfee615983896299a5b84e37">
  <xsd:schema xmlns:xsd="http://www.w3.org/2001/XMLSchema" xmlns:xs="http://www.w3.org/2001/XMLSchema" xmlns:p="http://schemas.microsoft.com/office/2006/metadata/properties" xmlns:ns3="6e874305-dad2-4bee-b24d-de0e68eebbb4" xmlns:ns4="f4c95265-a31b-4f92-9e29-e1d1ac406a1d" targetNamespace="http://schemas.microsoft.com/office/2006/metadata/properties" ma:root="true" ma:fieldsID="1d9ce63a7dc04cb26cb6c8a6d2453041" ns3:_="" ns4:_="">
    <xsd:import namespace="6e874305-dad2-4bee-b24d-de0e68eebbb4"/>
    <xsd:import namespace="f4c95265-a31b-4f92-9e29-e1d1ac406a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74305-dad2-4bee-b24d-de0e68eebb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95265-a31b-4f92-9e29-e1d1ac406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45CAD-6346-43F5-99BD-2EEBC8A14C52}">
  <ds:schemaRefs>
    <ds:schemaRef ds:uri="http://schemas.microsoft.com/office/2006/metadata/properties"/>
    <ds:schemaRef ds:uri="http://schemas.microsoft.com/office/infopath/2007/PartnerControls"/>
    <ds:schemaRef ds:uri="6e874305-dad2-4bee-b24d-de0e68eebbb4"/>
  </ds:schemaRefs>
</ds:datastoreItem>
</file>

<file path=customXml/itemProps2.xml><?xml version="1.0" encoding="utf-8"?>
<ds:datastoreItem xmlns:ds="http://schemas.openxmlformats.org/officeDocument/2006/customXml" ds:itemID="{20F5567F-FA60-40E1-BFB4-5336778839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AD86EE-0F9F-42EB-A7AB-C03B09AD3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74305-dad2-4bee-b24d-de0e68eebbb4"/>
    <ds:schemaRef ds:uri="f4c95265-a31b-4f92-9e29-e1d1ac406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55FA6D-477D-4BD1-951A-EC7491D5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920</Words>
  <Characters>5244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 Law LLP</dc:creator>
  <cp:keywords/>
  <dc:description/>
  <cp:lastModifiedBy>Mercy Maina</cp:lastModifiedBy>
  <cp:revision>2</cp:revision>
  <cp:lastPrinted>2024-05-29T15:44:00Z</cp:lastPrinted>
  <dcterms:created xsi:type="dcterms:W3CDTF">2024-06-07T10:24:00Z</dcterms:created>
  <dcterms:modified xsi:type="dcterms:W3CDTF">2024-06-07T10:24:00Z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0x010100B7693E1997E5C64B9EA532211516D00D</vt:lpwstr>
  </property>
</Properties>
</file>